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登录入口</w:t>
      </w:r>
    </w:p>
    <w:bookmarkStart w:id="12" w:name="登录入口"/>
    <w:p>
      <w:pPr>
        <w:pStyle w:val="Heading1"/>
      </w:pPr>
      <w:r>
        <w:rPr>
          <w:rFonts w:hint="eastAsia"/>
        </w:rPr>
        <w:t xml:space="preserve">登录入口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：云后台-员工-导购员资料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点击【营销通使用入口】（需要先联系销售经理开通）。</w:t>
      </w:r>
    </w:p>
    <w:p>
      <w:pPr>
        <w:pStyle w:val="FirstParagraph"/>
      </w:pPr>
      <w:r>
        <w:drawing>
          <wp:inline>
            <wp:extent cx="5334000" cy="2481791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9-ad4d030d585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登录入口</dc:title>
  <dc:creator/>
  <dc:language>zh-CN</dc:language>
  <cp:keywords/>
  <dcterms:created xsi:type="dcterms:W3CDTF">2026-09-28T09:53:15Z</dcterms:created>
  <dcterms:modified xsi:type="dcterms:W3CDTF">2026-09-28T09:53:15Z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