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分拣配货</w:t>
      </w:r>
    </w:p>
    <w:bookmarkStart w:id="9" w:name="分拣配货"/>
    <w:p>
      <w:pPr>
        <w:pStyle w:val="Heading1"/>
      </w:pPr>
      <w:r>
        <w:rPr>
          <w:rFonts w:hint="eastAsia"/>
        </w:rPr>
        <w:t xml:space="preserve">分拣配货</w:t>
      </w:r>
    </w:p>
    <w:bookmarkEnd w:id="9"/>
    <w:bookmarkStart w:id="16" w:name="有订货来源本店使用"/>
    <w:p>
      <w:pPr>
        <w:pStyle w:val="Heading1"/>
      </w:pPr>
      <w:r>
        <w:rPr>
          <w:rFonts w:hint="eastAsia"/>
        </w:rPr>
        <w:t xml:space="preserve">有订货来源：本店使用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：有来源单生产完工后，且订货门店为本店，确认分拣后不生成调拨单。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分拣配货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1）勾选对应订货门店，可修改【本次分拣】数量**（但修改无效，因为不生成分拣单）**，点击【确认分拣】；</w:t>
      </w:r>
    </w:p>
    <w:p>
      <w:pPr>
        <w:pStyle w:val="BodyText"/>
      </w:pPr>
      <w:r>
        <w:drawing>
          <wp:inline>
            <wp:extent cx="5334000" cy="2790414"/>
            <wp:effectExtent b="0" l="0" r="0" t="0"/>
            <wp:docPr descr="选择订货门店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733971864-9d48436b-a7e0-47d1-bc7a-763f836af48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0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2）弹窗点击【确认分拣】，不生成分拣单。</w:t>
      </w:r>
    </w:p>
    <w:p>
      <w:pPr>
        <w:pStyle w:val="BodyText"/>
      </w:pPr>
      <w:r>
        <w:drawing>
          <wp:inline>
            <wp:extent cx="5334000" cy="2737433"/>
            <wp:effectExtent b="0" l="0" r="0" t="0"/>
            <wp:docPr descr="确认分拣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737103460-9334a4cb-01bc-43e1-ac94-9c7492a696c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16"/>
    <w:bookmarkStart w:id="20" w:name="有订货来源异店使用"/>
    <w:p>
      <w:pPr>
        <w:pStyle w:val="Heading1"/>
      </w:pPr>
      <w:r>
        <w:rPr>
          <w:rFonts w:hint="eastAsia"/>
        </w:rPr>
        <w:t xml:space="preserve">有订货来源：异店使用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：有来源单生产完工后，订货门店为其他门店，确认分拣后生成调拨单。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分拣配货</w:t>
      </w:r>
    </w:p>
    <w:bookmarkStart w:id="17" w:name="分批分拣"/>
    <w:p>
      <w:pPr>
        <w:pStyle w:val="Heading2"/>
      </w:pPr>
      <w:r>
        <w:rPr>
          <w:rFonts w:hint="eastAsia"/>
        </w:rPr>
        <w:t xml:space="preserve">分批分拣</w:t>
      </w:r>
    </w:p>
    <w:p>
      <w:pPr>
        <w:pStyle w:val="FirstParagraph"/>
      </w:pPr>
      <w:r>
        <w:rPr>
          <w:rFonts w:hint="eastAsia"/>
          <w:b/>
          <w:bCs/>
        </w:rPr>
        <w:t xml:space="preserve">待补充</w:t>
      </w:r>
    </w:p>
    <w:bookmarkEnd w:id="17"/>
    <w:bookmarkStart w:id="18" w:name="分拣完成"/>
    <w:p>
      <w:pPr>
        <w:pStyle w:val="Heading2"/>
      </w:pPr>
      <w:r>
        <w:rPr>
          <w:rFonts w:hint="eastAsia"/>
        </w:rPr>
        <w:t xml:space="preserve">分拣完成</w:t>
      </w:r>
    </w:p>
    <w:p>
      <w:pPr>
        <w:pStyle w:val="FirstParagraph"/>
      </w:pPr>
      <w:r>
        <w:rPr>
          <w:rFonts w:hint="eastAsia"/>
          <w:b/>
          <w:bCs/>
        </w:rPr>
        <w:t xml:space="preserve">待补充</w:t>
      </w:r>
    </w:p>
    <w:bookmarkEnd w:id="18"/>
    <w:bookmarkStart w:id="19" w:name="分拣数量超出"/>
    <w:p>
      <w:pPr>
        <w:pStyle w:val="Heading2"/>
      </w:pPr>
      <w:r>
        <w:rPr>
          <w:rFonts w:hint="eastAsia"/>
        </w:rPr>
        <w:t xml:space="preserve">分拣数量超出</w:t>
      </w:r>
    </w:p>
    <w:p>
      <w:pPr>
        <w:pStyle w:val="FirstParagraph"/>
      </w:pPr>
      <w:r>
        <w:rPr>
          <w:rFonts w:hint="eastAsia"/>
          <w:b/>
          <w:bCs/>
        </w:rPr>
        <w:t xml:space="preserve">待补充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36" w:name="无订货来源分拣与调拨"/>
    <w:p>
      <w:pPr>
        <w:pStyle w:val="Heading1"/>
      </w:pPr>
      <w:r>
        <w:rPr>
          <w:rFonts w:hint="eastAsia"/>
        </w:rPr>
        <w:t xml:space="preserve">无订货来源：分拣与调拨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：AI识别生成的AISC开头的手工单，默认是未分拣状态，需要操作分拣配货才能生成调拨到目标门店。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分拣配货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1）选择【目标门店】，输入【本次分拣数量】，点击【确认分拣】；</w:t>
      </w:r>
    </w:p>
    <w:p>
      <w:pPr>
        <w:pStyle w:val="BodyText"/>
      </w:pPr>
      <w:r>
        <w:drawing>
          <wp:inline>
            <wp:extent cx="5334000" cy="2790414"/>
            <wp:effectExtent b="0" l="0" r="0" t="0"/>
            <wp:docPr descr="选择目标门店和分拣数量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53311828-a65a002b-9080-417b-850f-794d26940df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0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2）弹窗核对调拨数据，点击【确认分拣】，打印分拣配送小票；</w:t>
      </w:r>
    </w:p>
    <w:p>
      <w:pPr>
        <w:pStyle w:val="BodyText"/>
      </w:pPr>
      <w:r>
        <w:drawing>
          <wp:inline>
            <wp:extent cx="5334000" cy="2762920"/>
            <wp:effectExtent b="0" l="0" r="0" t="0"/>
            <wp:docPr descr="核对调拨数据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53655559-c57a7832-a52d-4218-b57d-e62d3c1a02d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2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90414"/>
            <wp:effectExtent b="0" l="0" r="0" t="0"/>
            <wp:docPr descr="分拣配送小票预览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53725888-32a61d34-397f-4864-ae6d-3ff1c48cc7d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0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打印出的分拣配送小票：</w:t>
      </w:r>
    </w:p>
    <w:p>
      <w:pPr>
        <w:pStyle w:val="BodyText"/>
      </w:pPr>
      <w:r>
        <w:drawing>
          <wp:inline>
            <wp:extent cx="5334000" cy="9074959"/>
            <wp:effectExtent b="0" l="0" r="0" t="0"/>
            <wp:docPr descr="打印出的分拣配送小票|360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53837910-2011a79d-b4bc-4696-be27-7d83fa33dd35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74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3）云端生成【调拨出库单】，出货量=本次分拣量，备注”门店生产KDS分货”。</w:t>
      </w:r>
    </w:p>
    <w:p>
      <w:pPr>
        <w:pStyle w:val="BodyText"/>
      </w:pPr>
      <w:r>
        <w:drawing>
          <wp:inline>
            <wp:extent cx="5334000" cy="1329319"/>
            <wp:effectExtent b="0" l="0" r="0" t="0"/>
            <wp:docPr descr="调拨出库单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714299359-6b5d4ea8-902d-4235-ba6c-541364dde0fd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29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分拣配货</dc:title>
  <dc:creator/>
  <dc:language>zh-CN</dc:language>
  <cp:keywords/>
  <dcterms:created xsi:type="dcterms:W3CDTF">2026-09-28T09:52:13Z</dcterms:created>
  <dcterms:modified xsi:type="dcterms:W3CDTF">2026-09-28T09:52:13Z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