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  <Override PartName="/word/media/rId34.png" ContentType="image/png"/>
  <Override PartName="/word/media/rId38.png" ContentType="image/png"/>
  <Override PartName="/word/media/rId41.png" ContentType="image/png"/>
  <Override PartName="/word/media/rId45.png" ContentType="image/png"/>
  <Override PartName="/word/media/rId48.png" ContentType="image/png"/>
  <Override PartName="/word/media/rId52.png" ContentType="image/png"/>
  <Override PartName="/word/media/rId56.png" ContentType="image/png"/>
  <Override PartName="/word/media/rId59.png" ContentType="image/png"/>
  <Override PartName="/word/media/rId63.png" ContentType="image/png"/>
  <Override PartName="/word/media/rId66.png" ContentType="image/png"/>
  <Override PartName="/word/media/rId70.png" ContentType="image/png"/>
  <Override PartName="/word/media/rId74.png" ContentType="image/png"/>
  <Override PartName="/word/media/rId77.png" ContentType="image/png"/>
  <Override PartName="/word/media/rId81.png" ContentType="image/png"/>
  <Override PartName="/word/media/rId85.png" ContentType="image/png"/>
  <Override PartName="/word/media/rId88.png" ContentType="image/png"/>
  <Override PartName="/word/media/rId92.png" ContentType="image/png"/>
  <Override PartName="/word/media/rId95.png" ContentType="image/png"/>
  <Override PartName="/word/media/rId98.png" ContentType="image/png"/>
  <Override PartName="/word/media/rId101.png" ContentType="image/png"/>
  <Override PartName="/word/media/rId105.png" ContentType="image/png"/>
  <Override PartName="/word/media/rId109.png" ContentType="image/png"/>
  <Override PartName="/word/media/rId112.png" ContentType="image/png"/>
  <Override PartName="/word/media/rId115.png" ContentType="image/png"/>
  <Override PartName="/word/media/rId119.png" ContentType="image/png"/>
  <Override PartName="/word/media/rId123.png" ContentType="image/png"/>
  <Override PartName="/word/media/rId127.png" ContentType="image/png"/>
  <Override PartName="/word/media/rId131.png" ContentType="image/png"/>
  <Override PartName="/word/media/rId135.png" ContentType="image/png"/>
  <Override PartName="/word/media/rId139.jpg" ContentType="image/jpeg"/>
  <Override PartName="/word/media/rId143.png" ContentType="image/png"/>
  <Override PartName="/word/media/rId146.png" ContentType="image/png"/>
  <Override PartName="/word/media/rId150.png" ContentType="image/png"/>
  <Override PartName="/word/media/rId154.png" ContentType="image/png"/>
  <Override PartName="/word/media/rId158.png" ContentType="image/png"/>
  <Override PartName="/word/media/rId161.png" ContentType="image/png"/>
  <Override PartName="/word/media/rId164.png" ContentType="image/png"/>
  <Override PartName="/word/media/rId168.png" ContentType="image/png"/>
  <Override PartName="/word/media/rId17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供应链更新日志（2026.09.14）（客户版）</w:t>
      </w:r>
    </w:p>
    <w:bookmarkStart w:id="9" w:name="供应链更新日志2026.09.14客户版"/>
    <w:p>
      <w:pPr>
        <w:pStyle w:val="Heading1"/>
      </w:pPr>
      <w:r>
        <w:rPr>
          <w:rFonts w:hint="eastAsia"/>
        </w:rPr>
        <w:t xml:space="preserve">供应链更新日志（2026.09.14）（客户版）</w:t>
      </w:r>
    </w:p>
    <w:bookmarkEnd w:id="9"/>
    <w:bookmarkStart w:id="25" w:name="X06e577d3c2ad39a474542d32ff6855dbcd9abb8"/>
    <w:p>
      <w:pPr>
        <w:pStyle w:val="Heading1"/>
      </w:pPr>
      <w:r>
        <w:t xml:space="preserve">1. </w:t>
      </w:r>
      <w:r>
        <w:rPr>
          <w:rFonts w:hint="eastAsia"/>
        </w:rPr>
        <w:t xml:space="preserve">仓库支持一品多库位管理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：同一商品可能分散存放在多个库位；启用库区管理后，还可能分布在多个库区的多个库位中，原有单一库位模式难以准确反映实际存放情况。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未启用库区时，支持同一商品关联多个库位。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启用库区后，支持同一商品关联多个库区，并在各库区下管理多个库位。</w:t>
      </w:r>
    </w:p>
    <w:p>
      <w:pPr>
        <w:pStyle w:val="FirstParagraph"/>
      </w:pPr>
      <w:r>
        <w:drawing>
          <wp:inline>
            <wp:extent cx="5285983" cy="281418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4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81000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0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79747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7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81835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7933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32" w:name="X1217143dd97f361270e6a7fe5a27dd7ce7dbf0e"/>
    <w:p>
      <w:pPr>
        <w:pStyle w:val="Heading1"/>
      </w:pPr>
      <w:r>
        <w:t xml:space="preserve">2. </w:t>
      </w:r>
      <w:r>
        <w:rPr>
          <w:rFonts w:hint="eastAsia"/>
        </w:rPr>
        <w:t xml:space="preserve">一品多库位支持库存不足预警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：启用一品多库位后，需要及时识别具体库位的库存不足情况，便于仓库提前补货或调整库位库存。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：增加库位库存不足预警通知，帮助仓库及时处理低库存库位。</w:t>
      </w:r>
    </w:p>
    <w:p>
      <w:pPr>
        <w:pStyle w:val="BodyText"/>
      </w:pPr>
      <w:r>
        <w:drawing>
          <wp:inline>
            <wp:extent cx="5285983" cy="27724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72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279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279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3" w:name="X2f925fba63c27d378296497e61cec027ab4ab66"/>
    <w:p>
      <w:pPr>
        <w:pStyle w:val="Heading1"/>
      </w:pPr>
      <w:r>
        <w:t xml:space="preserve">3. </w:t>
      </w:r>
      <w:r>
        <w:rPr>
          <w:rFonts w:hint="eastAsia"/>
        </w:rPr>
        <w:t xml:space="preserve">拣货单支持一品多库位分配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：门店订货单和大客户订单生成拣货单时，需要结合商品在多个库位的实际库存进行分配。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：摘果拣货单和播种拣货单支持一品多库位。系统优先按“清库存”逻辑分配库位，即优先选择库存较少且能够满足订单需求的库位，便于清理零散库存并释放库位空间。</w:t>
      </w:r>
    </w:p>
    <w:bookmarkEnd w:id="33"/>
    <w:bookmarkStart w:id="37" w:name="Xc93c680a14c251cc555608604b938445cf8281b"/>
    <w:p>
      <w:pPr>
        <w:pStyle w:val="Heading1"/>
      </w:pPr>
      <w:r>
        <w:t xml:space="preserve">4. </w:t>
      </w:r>
      <w:r>
        <w:rPr>
          <w:rFonts w:hint="eastAsia"/>
        </w:rPr>
        <w:t xml:space="preserve">大客户订单支持生成播种拣货单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：大客户订单商品数量和收货对象较多时，需要通过播种拣货提高集中拣货、按单分货的效率。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：大客户订单新增生成播种拣货单能力。</w:t>
      </w:r>
    </w:p>
    <w:p>
      <w:pPr>
        <w:pStyle w:val="BodyText"/>
      </w:pPr>
      <w:r>
        <w:drawing>
          <wp:inline>
            <wp:extent cx="5285983" cy="279330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8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X7e04261dd2ab9d414be79745746c60bc4bbacc0"/>
    <w:p>
      <w:pPr>
        <w:pStyle w:val="Heading1"/>
      </w:pPr>
      <w:r>
        <w:t xml:space="preserve">5. </w:t>
      </w:r>
      <w:r>
        <w:rPr>
          <w:rFonts w:hint="eastAsia"/>
        </w:rPr>
        <w:t xml:space="preserve">调拨价支持按出入库门店组合设置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：不同门店之间调货时，可能因经营关系或结算政策不同而采用不同的调拨价格。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：调拨价可按“出库门店</w:t>
      </w:r>
      <w:r>
        <w:t xml:space="preserve"> + </w:t>
      </w:r>
      <w:r>
        <w:rPr>
          <w:rFonts w:hint="eastAsia"/>
        </w:rPr>
        <w:t xml:space="preserve">入库门店”组合分别设置。例如，同一出库门店调拨至不同入库门店时，可分别按进货价的不同百分比计价。</w:t>
      </w:r>
    </w:p>
    <w:p>
      <w:pPr>
        <w:pStyle w:val="BodyText"/>
      </w:pPr>
      <w:r>
        <w:drawing>
          <wp:inline>
            <wp:extent cx="5285983" cy="282670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09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267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81835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0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51" w:name="Xd8d0dd948501a5127284fd251b82f469dd950ba"/>
    <w:p>
      <w:pPr>
        <w:pStyle w:val="Heading1"/>
      </w:pPr>
      <w:r>
        <w:t xml:space="preserve">6. </w:t>
      </w:r>
      <w:r>
        <w:rPr>
          <w:rFonts w:hint="eastAsia"/>
        </w:rPr>
        <w:t xml:space="preserve">采购发票支持两种勾对方式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：采购发票可能在付款前或付款后取得，不同结算阶段需要关联不同类型的业务单据。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支持直接勾对业务单据，适用于尚未付款、供货商先提供发票的入库挂账场景。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支持直接勾对购销供货商结算单，适用于已经付款、供货商按付款情况提供发票的付款冲销场景。</w:t>
      </w:r>
    </w:p>
    <w:p>
      <w:pPr>
        <w:pStyle w:val="FirstParagraph"/>
      </w:pPr>
      <w:r>
        <w:drawing>
          <wp:inline>
            <wp:extent cx="5285983" cy="2801654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1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94334" cy="313985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2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334" cy="313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5" w:name="X13480ca481478d22b9ff0260552c0f348b50913"/>
    <w:p>
      <w:pPr>
        <w:pStyle w:val="Heading1"/>
      </w:pPr>
      <w:r>
        <w:t xml:space="preserve">7. </w:t>
      </w:r>
      <w:r>
        <w:rPr>
          <w:rFonts w:hint="eastAsia"/>
        </w:rPr>
        <w:t xml:space="preserve">订货模板增加订货周期限制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：部分由供货商直配的商品存在固定生产或备货周期，例如某商品只能每三天订购一次，需要限制门店的订货频率。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：在可订货日期和可提交订单日期之外，新增“订货周期”限制，可按商品或模板业务要求控制订货间隔。</w:t>
      </w:r>
    </w:p>
    <w:p>
      <w:pPr>
        <w:pStyle w:val="BodyText"/>
      </w:pPr>
      <w:r>
        <w:drawing>
          <wp:inline>
            <wp:extent cx="5285983" cy="280583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3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5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Start w:id="62" w:name="X9ab1491108b6df77b0344b245cc8f112727e1ff"/>
    <w:p>
      <w:pPr>
        <w:pStyle w:val="Heading1"/>
      </w:pPr>
      <w:r>
        <w:t xml:space="preserve">8. </w:t>
      </w:r>
      <w:r>
        <w:rPr>
          <w:rFonts w:hint="eastAsia"/>
        </w:rPr>
        <w:t xml:space="preserve">调拨单自动签收支持按门店配置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：不同门店的验货时长、物流到达时间和经营属性不同，统一自动签收时间无法满足实际业务。例如首批到货量较大的门店需要更长核验时间，异地门店快递时效不同，加盟店也可能不适合自动签收。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：仓库调拨至门店的调拨单，可按门店级别分别设置自动确认签收时间，并指定哪些门店启用或不启用自动签收。</w:t>
      </w:r>
    </w:p>
    <w:p>
      <w:pPr>
        <w:pStyle w:val="BodyText"/>
      </w:pPr>
      <w:r>
        <w:drawing>
          <wp:inline>
            <wp:extent cx="5285983" cy="2801654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4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81000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5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0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2"/>
    <w:bookmarkStart w:id="69" w:name="Xae74fb82f1d073da3d115e283608331933c5a48"/>
    <w:p>
      <w:pPr>
        <w:pStyle w:val="Heading1"/>
      </w:pPr>
      <w:r>
        <w:t xml:space="preserve">9. </w:t>
      </w:r>
      <w:r>
        <w:rPr>
          <w:rFonts w:hint="eastAsia"/>
        </w:rPr>
        <w:t xml:space="preserve">新增未订货门店统计表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：生产工厂需要每日跟踪门店订货情况，及时发现漏订门店，避免工厂领料排产后再补单而影响生产计划。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：新增“未订货门店统计表”，用于查询和跟进指定范围内尚未提交订货的门店。</w:t>
      </w:r>
    </w:p>
    <w:p>
      <w:pPr>
        <w:pStyle w:val="BodyText"/>
      </w:pPr>
      <w:r>
        <w:drawing>
          <wp:inline>
            <wp:extent cx="5285983" cy="280583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6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5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793304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7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9"/>
    <w:bookmarkStart w:id="73" w:name="Xc1b0a9f5e11b984b5bac9f92bc898347d48311c"/>
    <w:p>
      <w:pPr>
        <w:pStyle w:val="Heading1"/>
      </w:pPr>
      <w:r>
        <w:t xml:space="preserve">10. </w:t>
      </w:r>
      <w:r>
        <w:rPr>
          <w:rFonts w:hint="eastAsia"/>
        </w:rPr>
        <w:t xml:space="preserve">商品状态调整支持批量选择组织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：启用商品生命周期管理后，总部调整商品状态还需要再次复制至各子组织，操作步骤较多。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：商品状态调整单支持一次选择多个目标组织，减少总部调整后再逐个复制商品状态的重复操作。</w:t>
      </w:r>
    </w:p>
    <w:p>
      <w:pPr>
        <w:pStyle w:val="BodyText"/>
      </w:pPr>
      <w:r>
        <w:drawing>
          <wp:inline>
            <wp:extent cx="5285983" cy="2822531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8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22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3"/>
    <w:bookmarkStart w:id="80" w:name="Xb15fcced55ee140588f8b2c70e8e37517f932fb"/>
    <w:p>
      <w:pPr>
        <w:pStyle w:val="Heading1"/>
      </w:pPr>
      <w:r>
        <w:t xml:space="preserve">11. </w:t>
      </w:r>
      <w:r>
        <w:rPr>
          <w:rFonts w:hint="eastAsia"/>
        </w:rPr>
        <w:t xml:space="preserve">增加领料单位和领料基数设置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：供应链工厂向原料仓申请领料时，需要按实际包装或发料规则控制领料单位与申请倍数。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：新增领料单位和领料基数设置，为生产任务领料申请提供统一的数量规则。</w:t>
      </w:r>
    </w:p>
    <w:p>
      <w:pPr>
        <w:pStyle w:val="BodyText"/>
      </w:pPr>
      <w:r>
        <w:drawing>
          <wp:inline>
            <wp:extent cx="5285983" cy="318161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19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3181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793304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0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0"/>
    <w:bookmarkStart w:id="84" w:name="X3041ea2a582a7589055df29f73e83f903e23137"/>
    <w:p>
      <w:pPr>
        <w:pStyle w:val="Heading1"/>
      </w:pPr>
      <w:r>
        <w:t xml:space="preserve">12. </w:t>
      </w:r>
      <w:r>
        <w:rPr>
          <w:rFonts w:hint="eastAsia"/>
        </w:rPr>
        <w:t xml:space="preserve">采购订单详情显示质检结果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：采购订单处于待入库、部分入库或已入库状态时，用户需要在订单详情中直接核对相关质检信息。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：采购订单详情页增加采购质检结果展示。</w:t>
      </w:r>
    </w:p>
    <w:p>
      <w:pPr>
        <w:pStyle w:val="BodyText"/>
      </w:pPr>
      <w:r>
        <w:drawing>
          <wp:inline>
            <wp:extent cx="5285983" cy="280583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1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5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4"/>
    <w:bookmarkStart w:id="91" w:name="X815774ec3bc69e2208e617b6e6901a82729a7fb"/>
    <w:p>
      <w:pPr>
        <w:pStyle w:val="Heading1"/>
      </w:pPr>
      <w:r>
        <w:t xml:space="preserve">13. </w:t>
      </w:r>
      <w:r>
        <w:rPr>
          <w:rFonts w:hint="eastAsia"/>
        </w:rPr>
        <w:t xml:space="preserve">总部账号支持切换供应链工厂账号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：总部人员管理供应链工厂业务时，需要便捷进入相应工厂账号，减少重复登录。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：总部账号的账号切换功能新增供应链工厂账号类型。</w:t>
      </w:r>
    </w:p>
    <w:p>
      <w:pPr>
        <w:pStyle w:val="BodyText"/>
      </w:pPr>
      <w:r>
        <w:drawing>
          <wp:inline>
            <wp:extent cx="5285983" cy="2542783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2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54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797479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3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7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1"/>
    <w:bookmarkStart w:id="104" w:name="X4972a725083f51e685edf62161351e52ab0ad15"/>
    <w:p>
      <w:pPr>
        <w:pStyle w:val="Heading1"/>
      </w:pPr>
      <w:r>
        <w:t xml:space="preserve">14. </w:t>
      </w:r>
      <w:r>
        <w:rPr>
          <w:rFonts w:hint="eastAsia"/>
        </w:rPr>
        <w:t xml:space="preserve">供货商资质到期查询导出包含附件图片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：应对食品安全检查时，除资质到期信息外，还需要在导出资料中查看对应的资质附件图片。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：供货商资质到期查询的导出文件增加附件图片内容，便于集中核验和存档。</w:t>
      </w:r>
    </w:p>
    <w:p>
      <w:pPr>
        <w:pStyle w:val="BodyText"/>
      </w:pPr>
      <w:r>
        <w:drawing>
          <wp:inline>
            <wp:extent cx="5285983" cy="2784953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4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84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89513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5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9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6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3181610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7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3181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4"/>
    <w:bookmarkStart w:id="108" w:name="Xb690c60c19b8356d0becebff5a1a5ab6050c96a"/>
    <w:p>
      <w:pPr>
        <w:pStyle w:val="Heading1"/>
      </w:pPr>
      <w:r>
        <w:t xml:space="preserve">15. </w:t>
      </w:r>
      <w:r>
        <w:rPr>
          <w:rFonts w:hint="eastAsia"/>
        </w:rPr>
        <w:t xml:space="preserve">订货单订配收明细报表增加查询方案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：常用筛选条件需要反复设置，影响日常报表查询效率。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：订货单订配收明细报表支持保存和使用查询方案。</w:t>
      </w:r>
    </w:p>
    <w:p>
      <w:pPr>
        <w:pStyle w:val="BodyText"/>
      </w:pPr>
      <w:r>
        <w:drawing>
          <wp:inline>
            <wp:extent cx="5285983" cy="2797479"/>
            <wp:effectExtent b="0" l="0" r="0" t="0"/>
            <wp:docPr descr="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8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97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8"/>
    <w:bookmarkStart w:id="118" w:name="X281a6770efc3c1365599be7aa38ea2d6d7cc851"/>
    <w:p>
      <w:pPr>
        <w:pStyle w:val="Heading1"/>
      </w:pPr>
      <w:r>
        <w:t xml:space="preserve">16. </w:t>
      </w:r>
      <w:r>
        <w:rPr>
          <w:rFonts w:hint="eastAsia"/>
        </w:rPr>
        <w:t xml:space="preserve">移动加权结转任务名称增加成本类型标识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：进销存成本汇总生成的结转期末定时任务，需要明确标识采用的成本计算方式，便于识别和管理。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：按移动加权生成的结转期末定时任务，在任务名称末尾增加“按移动加权”标识。</w:t>
      </w:r>
    </w:p>
    <w:p>
      <w:pPr>
        <w:pStyle w:val="BodyText"/>
      </w:pPr>
      <w:r>
        <w:drawing>
          <wp:inline>
            <wp:extent cx="5285983" cy="2818356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29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058443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0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058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175353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1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175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8"/>
    <w:bookmarkStart w:id="122" w:name="X984c223d3dc4e593bf56f40e78d92ab585f8a5d"/>
    <w:p>
      <w:pPr>
        <w:pStyle w:val="Heading1"/>
      </w:pPr>
      <w:r>
        <w:t xml:space="preserve">17. </w:t>
      </w:r>
      <w:r>
        <w:rPr>
          <w:rFonts w:hint="eastAsia"/>
        </w:rPr>
        <w:t xml:space="preserve">采购订单生成质检单改为新页面打开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：在采购订单列表生成质检单后，如果当前页面直接跳转至质检页面，返回时筛选条件会被重置，不便继续处理其他采购订单。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：从采购订单列表执行入库并生成质检单时，质检页面改为在新页面打开，保留原采购订单列表和筛选条件。</w:t>
      </w:r>
    </w:p>
    <w:p>
      <w:pPr>
        <w:pStyle w:val="BodyText"/>
      </w:pPr>
      <w:r>
        <w:drawing>
          <wp:inline>
            <wp:extent cx="5298509" cy="2747375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2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509" cy="2747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2"/>
    <w:bookmarkStart w:id="126" w:name="X5ca355fc0cc2fc2cb9bc1f43e1f583e303e94a8"/>
    <w:p>
      <w:pPr>
        <w:pStyle w:val="Heading1"/>
      </w:pPr>
      <w:r>
        <w:t xml:space="preserve">18. </w:t>
      </w:r>
      <w:r>
        <w:rPr>
          <w:rFonts w:hint="eastAsia"/>
        </w:rPr>
        <w:t xml:space="preserve">采购入库单支持入库后补传附件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：供货商到货后仓库可能先验收入库，相关资质或业务附件在后续才送达，需要在单据完成后补充上传。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：货流中的采购入库单支持确认入库后继续上传附件。</w:t>
      </w:r>
    </w:p>
    <w:p>
      <w:pPr>
        <w:pStyle w:val="BodyText"/>
      </w:pPr>
      <w:r>
        <w:drawing>
          <wp:inline>
            <wp:extent cx="5285983" cy="2801654"/>
            <wp:effectExtent b="0" l="0" r="0" t="0"/>
            <wp:docPr descr="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3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1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6"/>
    <w:bookmarkStart w:id="130" w:name="X1094b07d8824a4b1046662275e20896e8d779c6"/>
    <w:p>
      <w:pPr>
        <w:pStyle w:val="Heading1"/>
      </w:pPr>
      <w:r>
        <w:t xml:space="preserve">19. </w:t>
      </w:r>
      <w:r>
        <w:rPr>
          <w:rFonts w:hint="eastAsia"/>
        </w:rPr>
        <w:t xml:space="preserve">修复订配收明细与汇总统计不一致问题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：相同查询条件下，订货单订配收明细与订货单订配收汇总的统计结果存在差异。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：已统一相关统计口径，修复两张报表查询结果不一致的问题。</w:t>
      </w:r>
    </w:p>
    <w:p>
      <w:pPr>
        <w:pStyle w:val="BodyText"/>
      </w:pPr>
      <w:r>
        <w:drawing>
          <wp:inline>
            <wp:extent cx="5285983" cy="2789128"/>
            <wp:effectExtent b="0" l="0" r="0" t="0"/>
            <wp:docPr descr="" title="" id="1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4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8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0"/>
    <w:bookmarkStart w:id="134" w:name="X72431d467c1451ee28a034ea14f06df8cc4a620"/>
    <w:p>
      <w:pPr>
        <w:pStyle w:val="Heading1"/>
      </w:pPr>
      <w:r>
        <w:t xml:space="preserve">20. </w:t>
      </w:r>
      <w:r>
        <w:rPr>
          <w:rFonts w:hint="eastAsia"/>
        </w:rPr>
        <w:t xml:space="preserve">采购订单详情显示单位换算数量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：采购业务同时使用采购单位和辅助单位时，需要在订单详情中直观看到对应换算数量。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：采购订单详情增加采购单位与辅助单位的换算数量展示。</w:t>
      </w:r>
    </w:p>
    <w:p>
      <w:pPr>
        <w:pStyle w:val="BodyText"/>
      </w:pPr>
      <w:r>
        <w:drawing>
          <wp:inline>
            <wp:extent cx="5285983" cy="2805830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5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05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4"/>
    <w:bookmarkStart w:id="138" w:name="Xdc9b362a8ee4426c6751cfbd9d7919e14484c31"/>
    <w:p>
      <w:pPr>
        <w:pStyle w:val="Heading1"/>
      </w:pPr>
      <w:r>
        <w:t xml:space="preserve">21. </w:t>
      </w:r>
      <w:r>
        <w:rPr>
          <w:rFonts w:hint="eastAsia"/>
        </w:rPr>
        <w:t xml:space="preserve">仓库配货支持按订货时间筛选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：仓库需要按门店订货时间定位和分批处理待配货订单。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：仓库配货增加按订货单订货时间筛选的条件。</w:t>
      </w:r>
    </w:p>
    <w:p>
      <w:pPr>
        <w:pStyle w:val="BodyText"/>
      </w:pPr>
      <w:r>
        <w:drawing>
          <wp:inline>
            <wp:extent cx="5285983" cy="2818356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6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8"/>
    <w:bookmarkStart w:id="142" w:name="X55da7f124c48cdbc31535811e1494b9e90851d5"/>
    <w:p>
      <w:pPr>
        <w:pStyle w:val="Heading1"/>
      </w:pPr>
      <w:r>
        <w:t xml:space="preserve">22. </w:t>
      </w:r>
      <w:r>
        <w:rPr>
          <w:rFonts w:hint="eastAsia"/>
        </w:rPr>
        <w:t xml:space="preserve">采购单打印增加辅助采购量合计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：采购单使用辅助采购单位时，需要在打印单据中查看辅助采购量汇总。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：采购单打印增加辅助采购量合计。</w:t>
      </w:r>
    </w:p>
    <w:p>
      <w:pPr>
        <w:pStyle w:val="BodyText"/>
      </w:pPr>
      <w:r>
        <w:drawing>
          <wp:inline>
            <wp:extent cx="5270269" cy="1442258"/>
            <wp:effectExtent b="0" l="0" r="0" t="0"/>
            <wp:docPr descr="" title="" id="1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7.jp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269" cy="1442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2"/>
    <w:bookmarkStart w:id="149" w:name="X8865ef5cebb733014dfa76f2b3d9117be6649ea"/>
    <w:p>
      <w:pPr>
        <w:pStyle w:val="Heading1"/>
      </w:pPr>
      <w:r>
        <w:t xml:space="preserve">23. </w:t>
      </w:r>
      <w:r>
        <w:rPr>
          <w:rFonts w:hint="eastAsia"/>
        </w:rPr>
        <w:t xml:space="preserve">组装拆卸设置导出增加单位信息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：导出组装拆卸设置后，需要同时核对父件和子件的计量单位。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：组装拆卸设置导出内容增加父件单位和子件单位信息。</w:t>
      </w:r>
    </w:p>
    <w:p>
      <w:pPr>
        <w:pStyle w:val="BodyText"/>
      </w:pPr>
      <w:r>
        <w:drawing>
          <wp:inline>
            <wp:extent cx="5298509" cy="3194136"/>
            <wp:effectExtent b="0" l="0" r="0" t="0"/>
            <wp:docPr descr="" title="" id="1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8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509" cy="3194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77632" cy="1064712"/>
            <wp:effectExtent b="0" l="0" r="0" t="0"/>
            <wp:docPr descr="" title="" id="1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39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632" cy="1064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9"/>
    <w:bookmarkStart w:id="153" w:name="Xfa2742c568b15738eca77f3b513444df4188904"/>
    <w:p>
      <w:pPr>
        <w:pStyle w:val="Heading1"/>
      </w:pPr>
      <w:r>
        <w:t xml:space="preserve">24. </w:t>
      </w:r>
      <w:r>
        <w:rPr>
          <w:rFonts w:hint="eastAsia"/>
        </w:rPr>
        <w:t xml:space="preserve">盘点计划支持仅纳入负库存商品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：盘点计划处理无库存商品时，部分场景只需核查负库存商品，不希望将库存为零的商品纳入盘点。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：“无库存商品”设置增加“仅库存小于</w:t>
      </w:r>
      <w:r>
        <w:t xml:space="preserve"> 0 </w:t>
      </w:r>
      <w:r>
        <w:rPr>
          <w:rFonts w:hint="eastAsia"/>
        </w:rPr>
        <w:t xml:space="preserve">的商品参与盘点，库存等于</w:t>
      </w:r>
      <w:r>
        <w:t xml:space="preserve"> 0 </w:t>
      </w:r>
      <w:r>
        <w:rPr>
          <w:rFonts w:hint="eastAsia"/>
        </w:rPr>
        <w:t xml:space="preserve">的商品不参与盘点”选项。</w:t>
      </w:r>
    </w:p>
    <w:p>
      <w:pPr>
        <w:pStyle w:val="BodyText"/>
      </w:pPr>
      <w:r>
        <w:drawing>
          <wp:inline>
            <wp:extent cx="5285983" cy="2684745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0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684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3"/>
    <w:bookmarkStart w:id="157" w:name="X060e96df58c632d0de5e2de5d094ea54efa81fb"/>
    <w:p>
      <w:pPr>
        <w:pStyle w:val="Heading1"/>
      </w:pPr>
      <w:r>
        <w:t xml:space="preserve">25. </w:t>
      </w:r>
      <w:r>
        <w:rPr>
          <w:rFonts w:hint="eastAsia"/>
        </w:rPr>
        <w:t xml:space="preserve">购销供货商结算增加制单时间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：结算查询时需要区分业务发生时间与单据实际创建时间。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：购销供货商结算列表增加“单据制单时间”列。</w:t>
      </w:r>
    </w:p>
    <w:p>
      <w:pPr>
        <w:pStyle w:val="BodyText"/>
      </w:pPr>
      <w:r>
        <w:drawing>
          <wp:inline>
            <wp:extent cx="5285983" cy="2851758"/>
            <wp:effectExtent b="0" l="0" r="0" t="0"/>
            <wp:docPr descr="" title="" id="1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1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51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7"/>
    <w:bookmarkStart w:id="167" w:name="Xe3428ec15f6525d647e214200ef0096d3955b9c"/>
    <w:p>
      <w:pPr>
        <w:pStyle w:val="Heading1"/>
      </w:pPr>
      <w:r>
        <w:t xml:space="preserve">26. </w:t>
      </w:r>
      <w:r>
        <w:rPr>
          <w:rFonts w:hint="eastAsia"/>
        </w:rPr>
        <w:t xml:space="preserve">预付款单历史增加供货商余额统计入口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：查看预付款历史时，需要快速了解各供货商当前预付余额。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：预付款单历史新增“预付供货商余额统计”入口，可集中查询供货商预付款余额。</w:t>
      </w:r>
    </w:p>
    <w:p>
      <w:pPr>
        <w:pStyle w:val="BodyText"/>
      </w:pPr>
      <w:r>
        <w:drawing>
          <wp:inline>
            <wp:extent cx="5285983" cy="3194136"/>
            <wp:effectExtent b="0" l="0" r="0" t="0"/>
            <wp:docPr descr="" title="" id="1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2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3194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85983" cy="2818356"/>
            <wp:effectExtent b="0" l="0" r="0" t="0"/>
            <wp:docPr descr="" title="" id="1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3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818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98509" cy="3173260"/>
            <wp:effectExtent b="0" l="0" r="0" t="0"/>
            <wp:docPr descr="" title="" id="1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4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509" cy="3173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7"/>
    <w:bookmarkStart w:id="171" w:name="X1ff78f165d365cce13ad20d8fb000fc9a217ca1"/>
    <w:p>
      <w:pPr>
        <w:pStyle w:val="Heading1"/>
      </w:pPr>
      <w:r>
        <w:t xml:space="preserve">27. ERP </w:t>
      </w:r>
      <w:r>
        <w:rPr>
          <w:rFonts w:hint="eastAsia"/>
        </w:rPr>
        <w:t xml:space="preserve">产品入库成本按完成时间匹配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：仓库商品出入库成本明细中，ERP</w:t>
      </w:r>
      <w:r>
        <w:t xml:space="preserve"> </w:t>
      </w:r>
      <w:r>
        <w:rPr>
          <w:rFonts w:hint="eastAsia"/>
        </w:rPr>
        <w:t xml:space="preserve">产品入库单按制单时间匹配统计时间，可能与实际业务完成时点不一致。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：ERP</w:t>
      </w:r>
      <w:r>
        <w:t xml:space="preserve"> </w:t>
      </w:r>
      <w:r>
        <w:rPr>
          <w:rFonts w:hint="eastAsia"/>
        </w:rPr>
        <w:t xml:space="preserve">产品入库单改为使用完成时间与统计时间进行匹配。</w:t>
      </w:r>
    </w:p>
    <w:p>
      <w:pPr>
        <w:pStyle w:val="BodyText"/>
      </w:pPr>
      <w:r>
        <w:drawing>
          <wp:inline>
            <wp:extent cx="5277632" cy="2647167"/>
            <wp:effectExtent b="0" l="0" r="0" t="0"/>
            <wp:docPr descr="" title="" id="1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5.pn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632" cy="2647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1"/>
    <w:bookmarkStart w:id="175" w:name="X2c4993f1a387ee6d2b28f50f3e5aa0416322515"/>
    <w:p>
      <w:pPr>
        <w:pStyle w:val="Heading1"/>
      </w:pPr>
      <w:r>
        <w:t xml:space="preserve">28. </w:t>
      </w:r>
      <w:r>
        <w:rPr>
          <w:rFonts w:hint="eastAsia"/>
        </w:rPr>
        <w:t xml:space="preserve">商品出入库明细增加订货单号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：核对商品出入库记录时，需要追溯对应的门店订货单。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：商品出入库明细增加“订货单号”列。</w:t>
      </w:r>
    </w:p>
    <w:p>
      <w:pPr>
        <w:pStyle w:val="BodyText"/>
      </w:pPr>
      <w:r>
        <w:drawing>
          <wp:inline>
            <wp:extent cx="5285983" cy="2772427"/>
            <wp:effectExtent b="0" l="0" r="0" t="0"/>
            <wp:docPr descr="" title="" id="1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14-046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83" cy="2772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52" Target="media/rId52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70" Target="media/rId70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81" Target="media/rId81.png" /><Relationship Type="http://schemas.openxmlformats.org/officeDocument/2006/relationships/image" Id="rId85" Target="media/rId85.png" /><Relationship Type="http://schemas.openxmlformats.org/officeDocument/2006/relationships/image" Id="rId88" Target="media/rId88.png" /><Relationship Type="http://schemas.openxmlformats.org/officeDocument/2006/relationships/image" Id="rId92" Target="media/rId92.png" /><Relationship Type="http://schemas.openxmlformats.org/officeDocument/2006/relationships/image" Id="rId95" Target="media/rId95.png" /><Relationship Type="http://schemas.openxmlformats.org/officeDocument/2006/relationships/image" Id="rId98" Target="media/rId98.png" /><Relationship Type="http://schemas.openxmlformats.org/officeDocument/2006/relationships/image" Id="rId101" Target="media/rId101.png" /><Relationship Type="http://schemas.openxmlformats.org/officeDocument/2006/relationships/image" Id="rId105" Target="media/rId105.png" /><Relationship Type="http://schemas.openxmlformats.org/officeDocument/2006/relationships/image" Id="rId109" Target="media/rId109.png" /><Relationship Type="http://schemas.openxmlformats.org/officeDocument/2006/relationships/image" Id="rId112" Target="media/rId112.png" /><Relationship Type="http://schemas.openxmlformats.org/officeDocument/2006/relationships/image" Id="rId115" Target="media/rId115.png" /><Relationship Type="http://schemas.openxmlformats.org/officeDocument/2006/relationships/image" Id="rId119" Target="media/rId119.png" /><Relationship Type="http://schemas.openxmlformats.org/officeDocument/2006/relationships/image" Id="rId123" Target="media/rId123.png" /><Relationship Type="http://schemas.openxmlformats.org/officeDocument/2006/relationships/image" Id="rId127" Target="media/rId127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39" Target="media/rId139.jpg" /><Relationship Type="http://schemas.openxmlformats.org/officeDocument/2006/relationships/image" Id="rId143" Target="media/rId143.png" /><Relationship Type="http://schemas.openxmlformats.org/officeDocument/2006/relationships/image" Id="rId146" Target="media/rId146.png" /><Relationship Type="http://schemas.openxmlformats.org/officeDocument/2006/relationships/image" Id="rId150" Target="media/rId150.png" /><Relationship Type="http://schemas.openxmlformats.org/officeDocument/2006/relationships/image" Id="rId154" Target="media/rId154.png" /><Relationship Type="http://schemas.openxmlformats.org/officeDocument/2006/relationships/image" Id="rId158" Target="media/rId158.png" /><Relationship Type="http://schemas.openxmlformats.org/officeDocument/2006/relationships/image" Id="rId161" Target="media/rId161.png" /><Relationship Type="http://schemas.openxmlformats.org/officeDocument/2006/relationships/image" Id="rId164" Target="media/rId164.png" /><Relationship Type="http://schemas.openxmlformats.org/officeDocument/2006/relationships/image" Id="rId168" Target="media/rId168.png" /><Relationship Type="http://schemas.openxmlformats.org/officeDocument/2006/relationships/image" Id="rId172" Target="media/rId17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供应链更新日志（2026.09.14）（客户版）</dc:title>
  <dc:creator/>
  <dc:language>zh-CN</dc:language>
  <cp:keywords/>
  <dcterms:created xsi:type="dcterms:W3CDTF">2026-09-28T09:57:06Z</dcterms:created>
  <dcterms:modified xsi:type="dcterms:W3CDTF">2026-09-28T09:57:06Z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