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9.png" ContentType="image/png"/>
  <Override PartName="/word/media/rId72.png" ContentType="image/png"/>
  <Override PartName="/word/media/rId44.png" ContentType="image/png"/>
  <Override PartName="/word/media/rId47.png" ContentType="image/png"/>
  <Override PartName="/word/media/rId65.png" ContentType="image/png"/>
  <Override PartName="/word/media/rId69.png" ContentType="image/png"/>
  <Override PartName="/word/media/rId75.png" ContentType="image/png"/>
  <Override PartName="/word/media/rId37.png" ContentType="image/png"/>
  <Override PartName="/word/media/rId40.png" ContentType="image/png"/>
  <Override PartName="/word/media/rId10.png" ContentType="image/png"/>
  <Override PartName="/word/media/rId13.png" ContentType="image/png"/>
  <Override PartName="/word/media/rId55.png" ContentType="image/png"/>
  <Override PartName="/word/media/rId58.png" ContentType="image/png"/>
  <Override PartName="/word/media/rId105.png" ContentType="image/png"/>
  <Override PartName="/word/media/rId26.png" ContentType="image/png"/>
  <Override PartName="/word/media/rId108.png" ContentType="image/png"/>
  <Override PartName="/word/media/rId96.png" ContentType="image/png"/>
  <Override PartName="/word/media/rId82.png" ContentType="image/png"/>
  <Override PartName="/word/media/rId17.png" ContentType="image/png"/>
  <Override PartName="/word/media/rId20.png" ContentType="image/png"/>
  <Override PartName="/word/media/rId30.png" ContentType="image/png"/>
  <Override PartName="/word/media/rId23.png" ContentType="image/png"/>
  <Override PartName="/word/media/rId33.png" ContentType="image/png"/>
  <Override PartName="/word/media/rId101.png" ContentType="image/png"/>
  <Override PartName="/word/media/rId113.png" ContentType="image/png"/>
  <Override PartName="/word/media/rId92.png" ContentType="image/png"/>
  <Override PartName="/word/media/rId89.png" ContentType="image/png"/>
  <Override PartName="/word/media/rId85.png" ContentType="image/png"/>
  <Override PartName="/word/media/rId62.json" ContentType="application/json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PC烘焙版V4.71.204.5457更新日志(2026.10.27)（客户版）</w:t>
      </w:r>
    </w:p>
    <w:bookmarkStart w:id="9" w:name="pc烘焙版v4.71.204.5457更新日志2026.10.27客户版"/>
    <w:p>
      <w:pPr>
        <w:pStyle w:val="Heading1"/>
      </w:pPr>
      <w:r>
        <w:rPr>
          <w:rFonts w:hint="eastAsia"/>
        </w:rPr>
        <w:t xml:space="preserve">PC烘焙版V4.71.204.5457更新日志(2026.10.27)（客户版）</w:t>
      </w:r>
    </w:p>
    <w:bookmarkEnd w:id="9"/>
    <w:bookmarkStart w:id="16" w:name="Xcf9a8128dc354dc0fcc2b28d6ed42f52414ff55"/>
    <w:p>
      <w:pPr>
        <w:pStyle w:val="Heading1"/>
      </w:pPr>
      <w:r>
        <w:t xml:space="preserve">1. </w:t>
      </w:r>
      <w:r>
        <w:rPr>
          <w:rFonts w:hint="eastAsia"/>
        </w:rPr>
        <w:t xml:space="preserve">预付卡销售支持将备注设为必填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：门店需要在销售预付卡时记录必要信息，避免漏填备注，便于后续查询和核对。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：通过售后工具开启【预付卡销售备注是否必填】。</w:t>
      </w:r>
    </w:p>
    <w:p>
      <w:pPr>
        <w:pStyle w:val="BodyText"/>
      </w:pPr>
      <w:r>
        <w:drawing>
          <wp:inline>
            <wp:extent cx="5334000" cy="3107217"/>
            <wp:effectExtent b="0" l="0" r="0" t="0"/>
            <wp:docPr descr="image.png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22172708850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72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：开启后，销售预付卡须填写备注；备注为空或仅含空格时，系统提示并阻止提交。关闭后保持原有规则，会员充值及优惠券售卖不受此设置影响。</w:t>
      </w:r>
    </w:p>
    <w:p>
      <w:pPr>
        <w:pStyle w:val="BodyText"/>
      </w:pPr>
      <w:r>
        <w:drawing>
          <wp:inline>
            <wp:extent cx="5334000" cy="4034193"/>
            <wp:effectExtent b="0" l="0" r="0" t="0"/>
            <wp:docPr descr="image.png" title="" id="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22175032808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341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6"/>
    <w:bookmarkStart w:id="29" w:name="Xf2a2e9fb4791a5980cd6ba237a0dca6b97267e6"/>
    <w:p>
      <w:pPr>
        <w:pStyle w:val="Heading1"/>
      </w:pPr>
      <w:r>
        <w:t xml:space="preserve">2. </w:t>
      </w:r>
      <w:r>
        <w:rPr>
          <w:rFonts w:hint="eastAsia"/>
        </w:rPr>
        <w:t xml:space="preserve">收银界面展示预付卡合计余额及支付金额提示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：会员绑定多张预付卡时，收银员需进入卡片列表逐张查看余额，无法直接掌握合计金额；支付时也缺少已选金额和剩余余额提示，影响收银效率。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：在云端【系统设置】中开启【允许登录会员使用绑定的预付卡】。</w:t>
      </w:r>
    </w:p>
    <w:p>
      <w:pPr>
        <w:pStyle w:val="BodyText"/>
      </w:pPr>
      <w:r>
        <w:drawing>
          <wp:inline>
            <wp:extent cx="5334000" cy="2706588"/>
            <wp:effectExtent b="0" l="0" r="0" t="0"/>
            <wp:docPr descr="image.png" title="" id="1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obsidian-paste-Lso1dJ-0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65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选择会员后，【预付卡】支付按钮展示其绑定的可用预付卡余额合计，禁用、过期等不可用卡片不计入。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点击【预付卡】可选择卡片并输入使用金额，实时显示合计余额、本次已选金额及张数、支付后剩余余额；已选金额达到订单应付金额后，不可继续叠加选卡。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调整选卡、使用金额或切换会员时，金额信息同步更新。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未选择会员时不显示合计余额，点击后可输入预付卡号；退单模式下不展示预付卡金额提示。</w:t>
      </w:r>
    </w:p>
    <w:p>
      <w:pPr>
        <w:pStyle w:val="FirstParagraph"/>
      </w:pPr>
      <w:r>
        <w:rPr>
          <w:rFonts w:hint="eastAsia"/>
          <w:b/>
          <w:bCs/>
        </w:rPr>
        <w:t xml:space="preserve">示例</w:t>
      </w:r>
      <w:r>
        <w:rPr>
          <w:rFonts w:hint="eastAsia"/>
        </w:rPr>
        <w:t xml:space="preserve">：会员绑定三张可用预付卡，余额分别为100元、200元和50元，【预付卡】按钮显示合计350元。选择其中两张支付40元后，提示区显示“预付卡余额：350元，已选：40元／2张，卡内剩余：310元”。</w:t>
      </w:r>
    </w:p>
    <w:p>
      <w:pPr>
        <w:pStyle w:val="BodyText"/>
      </w:pPr>
      <w:r>
        <w:drawing>
          <wp:inline>
            <wp:extent cx="5334000" cy="3999010"/>
            <wp:effectExtent b="0" l="0" r="0" t="0"/>
            <wp:docPr descr="image.png" title="" id="2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obsidian-paste-RUeVHo-0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90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45025"/>
            <wp:effectExtent b="0" l="0" r="0" t="0"/>
            <wp:docPr descr="image.png" title="" id="2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obsidian-paste-Wjjhw4-0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45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999010"/>
            <wp:effectExtent b="0" l="0" r="0" t="0"/>
            <wp:docPr descr="image.png" title="" id="2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obsidian-paste-62N9Qh-0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90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9"/>
    <w:bookmarkStart w:id="36" w:name="X95e702f3b693e0b9e1ef148ef72630eb3bfa4cb"/>
    <w:p>
      <w:pPr>
        <w:pStyle w:val="Heading1"/>
      </w:pPr>
      <w:r>
        <w:t xml:space="preserve">3. </w:t>
      </w:r>
      <w:r>
        <w:rPr>
          <w:rFonts w:hint="eastAsia"/>
        </w:rPr>
        <w:t xml:space="preserve">启用会员动态码后拦截旧静态码截图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：门店启用会员动态码后，之前保存的静态码截图仍可扫码识别会员，存在身份冒用、积分或优惠券被盗用的风险，需要同步限制旧码使用。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：门店或连锁总店已开启会员动态码。</w:t>
      </w:r>
    </w:p>
    <w:p>
      <w:pPr>
        <w:pStyle w:val="BodyText"/>
      </w:pPr>
      <w:r>
        <w:drawing>
          <wp:inline>
            <wp:extent cx="5334000" cy="2788997"/>
            <wp:effectExtent b="0" l="0" r="0" t="0"/>
            <wp:docPr descr="image.png" title="" id="3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obsidian-paste-TH2UTH-0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889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启用动态码后，旧静态码及其截图失效。收银端扫描时会拦截并提示顾客刷新会员码，使用当前有效的动态码。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动态码超过有效期后不可继续使用，需刷新后重新扫码。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连锁总店开启动态码后，下属门店同步执行旧码失效规则；未开启动态码的门店保持原有使用方式。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关闭动态码后，旧静态码不会自动恢复使用，如需恢复静态码，应重新生成。</w:t>
      </w:r>
    </w:p>
    <w:p>
      <w:pPr>
        <w:pStyle w:val="FirstParagraph"/>
      </w:pPr>
      <w:r>
        <w:drawing>
          <wp:inline>
            <wp:extent cx="5334000" cy="3583781"/>
            <wp:effectExtent b="0" l="0" r="0" t="0"/>
            <wp:docPr descr="image.png" title="" id="3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obsidian-paste-g7dHxq-0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837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6"/>
    <w:bookmarkStart w:id="43" w:name="Xd26bb109512d1f8356bced64f9e62b99ff432e2"/>
    <w:p>
      <w:pPr>
        <w:pStyle w:val="Heading1"/>
      </w:pPr>
      <w:r>
        <w:t xml:space="preserve">4. </w:t>
      </w:r>
      <w:r>
        <w:rPr>
          <w:rFonts w:hint="eastAsia"/>
        </w:rPr>
        <w:t xml:space="preserve">商品搜索支持按价格检索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：商品较多或名称相近时，收银员需要根据顾客提供的单价快速查找商品。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：PC收银商品搜索支持输入整数或小数价格，按商品售价精确匹配，不进行价格模糊匹配。原有条码、拼音码和品名等检索方式继续保留；同时匹配多个商品时，可在结果列表中选择。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image.png" title="" id="3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22171500598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333750"/>
            <wp:effectExtent b="0" l="0" r="0" t="0"/>
            <wp:docPr descr="image.png" title="" id="4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2217161616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3"/>
    <w:bookmarkStart w:id="50" w:name="X25c20de2bca8ff80ce10d3f7a7d3a55db3ba3f0"/>
    <w:p>
      <w:pPr>
        <w:pStyle w:val="Heading1"/>
      </w:pPr>
      <w:r>
        <w:t xml:space="preserve">5. </w:t>
      </w:r>
      <w:r>
        <w:rPr>
          <w:rFonts w:hint="eastAsia"/>
        </w:rPr>
        <w:t xml:space="preserve">购物车支持快捷键翻页及自定义键位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：购物车商品较多、一屏无法显示完整时，收银员需要快速查看上下页商品，减少鼠标或触屏操作。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：购物车商品超出一屏时，支持通过快捷键翻页，并可在【系统设置</w:t>
      </w:r>
      <w:r>
        <w:t xml:space="preserve"> → </w:t>
      </w:r>
      <w:r>
        <w:rPr>
          <w:rFonts w:hint="eastAsia"/>
        </w:rPr>
        <w:t xml:space="preserve">快捷键】中按操作习惯调整键位。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Shift+Up：向上翻页。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Shift+Down：向下翻页。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单按</w:t>
      </w:r>
      <w:r>
        <w:t xml:space="preserve"> </w:t>
      </w:r>
      <w:r>
        <w:rPr>
          <w:rFonts w:hint="eastAsia"/>
        </w:rPr>
        <w:t xml:space="preserve">Up/Down：保留商品上下选择功能。</w:t>
      </w:r>
    </w:p>
    <w:p>
      <w:pPr>
        <w:pStyle w:val="FirstParagraph"/>
      </w:pPr>
      <w:r>
        <w:drawing>
          <wp:inline>
            <wp:extent cx="5334000" cy="4000499"/>
            <wp:effectExtent b="0" l="0" r="0" t="0"/>
            <wp:docPr descr="image.png" title="" id="4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22094117020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715779"/>
            <wp:effectExtent b="0" l="0" r="0" t="0"/>
            <wp:docPr descr="image.png|335" title="" id="4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22114513915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7157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50"/>
    <w:bookmarkStart w:id="52" w:name="Xd56632c85e7038a5d6fd54193cdd782c960014d"/>
    <w:p>
      <w:pPr>
        <w:pStyle w:val="Heading1"/>
      </w:pPr>
      <w:r>
        <w:t xml:space="preserve">6. </w:t>
      </w:r>
      <w:r>
        <w:rPr>
          <w:rFonts w:hint="eastAsia"/>
        </w:rPr>
        <w:t xml:space="preserve">新增新版【生产制作】模块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：门店制作商品时，需要一次处理多个成品，并根据实际投料调整原料种类和用量，准确记录原料消耗与成品入库。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：通过售后工具切换使用新版【生产制作】，未切换时继续使用旧版。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：新版【生产制作】支持同时制作多个商品，按标准配方制作，或在配置允许的范围内调整原料用量、添加、删除及替换原料。制作后记录成品入库和原料扣减，具体配置与操作参见</w:t>
      </w:r>
      <w:hyperlink r:id="rId51">
        <w:r>
          <w:rPr>
            <w:rStyle w:val="Hyperlink"/>
            <w:rFonts w:hint="eastAsia"/>
          </w:rPr>
          <w:t xml:space="preserve">银豹新版生产制作业务手册</w:t>
        </w:r>
      </w:hyperlink>
      <w:r>
        <w:t xml:space="preserve">。</w:t>
      </w:r>
    </w:p>
    <w:bookmarkEnd w:id="52"/>
    <w:bookmarkStart w:id="54" w:name="Xbd505e0ec17d19ea31eb95e618069d3f94a84d4"/>
    <w:p>
      <w:pPr>
        <w:pStyle w:val="Heading1"/>
      </w:pPr>
      <w:r>
        <w:t xml:space="preserve">7. </w:t>
      </w:r>
      <w:r>
        <w:rPr>
          <w:rFonts w:hint="eastAsia"/>
        </w:rPr>
        <w:t xml:space="preserve">新增【商品拆分】功能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：门店需要将整件商品拆成小份商品，例如将一盘面包胚拆成多个小尺寸面包胚，并记录拆分后的实际产出。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：新增【商品拆分】功能，按云端配置的拆分方案换算标准产出；在配置允许的范围内，可调整实际产出数量及商品。具体配置与操作参见</w:t>
      </w:r>
      <w:hyperlink r:id="rId53">
        <w:r>
          <w:rPr>
            <w:rStyle w:val="Hyperlink"/>
            <w:rFonts w:hint="eastAsia"/>
          </w:rPr>
          <w:t xml:space="preserve">银豹商品拆分业务手册</w:t>
        </w:r>
      </w:hyperlink>
      <w:r>
        <w:t xml:space="preserve">。</w:t>
      </w:r>
    </w:p>
    <w:bookmarkEnd w:id="54"/>
    <w:bookmarkStart w:id="61" w:name="X79186cdc01b7b887611b2a8102affa90737a1e7"/>
    <w:p>
      <w:pPr>
        <w:pStyle w:val="Heading1"/>
      </w:pPr>
      <w:r>
        <w:t xml:space="preserve">8. </w:t>
      </w:r>
      <w:r>
        <w:rPr>
          <w:rFonts w:hint="eastAsia"/>
        </w:rPr>
        <w:t xml:space="preserve">盘点模板支持控制商品添加与移除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：门店盘点时，可能需要补录模板外商品或移除本次不盘点的商品，也可能要求严格按模板执行，因此需要按模板控制商品增删。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：在云端盘点模板中设置【盘点时是否允许添加模板外商品】和【盘点时是否允许删除模板内商品】。</w:t>
      </w:r>
    </w:p>
    <w:p>
      <w:pPr>
        <w:pStyle w:val="BodyText"/>
      </w:pPr>
      <w:r>
        <w:drawing>
          <wp:inline>
            <wp:extent cx="5334000" cy="2719089"/>
            <wp:effectExtent b="0" l="0" r="0" t="0"/>
            <wp:docPr descr="" title="" id="5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22180032874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：使用盘点模板时，收银端按模板设置控制商品添加与移除。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允许添加模板外商品时，盘点界面显示【添加商品】，可补录模板外商品。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允许删除模板内商品时，操作列显示【移除】，可移除本次不盘点的模板内商品。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对应设置为【否】时，不允许该操作。烘焙行业新建模板的两个开关默认均为【是】，历史模板默认均为【否】，可按需调整。</w:t>
      </w:r>
    </w:p>
    <w:p>
      <w:pPr>
        <w:pStyle w:val="FirstParagraph"/>
      </w:pPr>
      <w:r>
        <w:drawing>
          <wp:inline>
            <wp:extent cx="5334000" cy="3335052"/>
            <wp:effectExtent b="0" l="0" r="0" t="0"/>
            <wp:docPr descr="image.png" title="" id="5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23113335559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61"/>
    <w:bookmarkStart w:id="68" w:name="X7c6b686b4c18103532becdc0c8854caae31b020"/>
    <w:p>
      <w:pPr>
        <w:pStyle w:val="Heading1"/>
      </w:pPr>
      <w:r>
        <w:t xml:space="preserve">9. </w:t>
      </w:r>
      <w:r>
        <w:rPr>
          <w:rFonts w:hint="eastAsia"/>
        </w:rPr>
        <w:t xml:space="preserve">报损小票支持使用云端高级打印模板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：门店需要单独打印报损商品明细及汇总信息，便于当班核对和交接。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：在云端【高级小票模板】中新建并配置【报损小票】模板；目前未预设系统默认模板。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63" name="Picture"/>
            <a:graphic>
              <a:graphicData uri="http://schemas.openxmlformats.org/drawingml/2006/picture">
                <pic:pic>
                  <pic:nvPicPr>
                    <pic:cNvPr descr="https://portal.pospal.cn/workorder/demandInfoV2/downloadFile?openStyle=inline&amp;amp;fileId=110124&amp;amp;auth=76dfc182558ecaf7b9eac3938bb0d0b7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：在收银端操作【提交报损】或【确认报损】时，支持按云端配置的高级模板打印报损小票。模板可按需设置报损人、报损时间、商品、数量、原因、金额及备注等内容。</w:t>
      </w:r>
    </w:p>
    <w:p>
      <w:pPr>
        <w:pStyle w:val="BodyText"/>
      </w:pPr>
      <w:r>
        <w:drawing>
          <wp:inline>
            <wp:extent cx="5334000" cy="4218000"/>
            <wp:effectExtent b="0" l="0" r="0" t="0"/>
            <wp:docPr descr="image.png|328" title="" id="6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22143946397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18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68"/>
    <w:bookmarkStart w:id="78" w:name="X252f48def4d0adedddf5c8db8268ceaac46ac6d"/>
    <w:p>
      <w:pPr>
        <w:pStyle w:val="Heading1"/>
      </w:pPr>
      <w:r>
        <w:t xml:space="preserve">10. </w:t>
      </w:r>
      <w:r>
        <w:rPr>
          <w:rFonts w:hint="eastAsia"/>
        </w:rPr>
        <w:t xml:space="preserve">收银端新增报表入口，支持查看云端报表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：门店需要在收银端便捷查看营业概况等经营报表，减少切换系统或另开页面的操作。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：在新版烘焙后台【运营管理</w:t>
      </w:r>
      <w:r>
        <w:t xml:space="preserve"> → </w:t>
      </w:r>
      <w:r>
        <w:rPr>
          <w:rFonts w:hint="eastAsia"/>
        </w:rPr>
        <w:t xml:space="preserve">收银报表】中，配置需要展示的报表名称及链接。</w:t>
      </w:r>
    </w:p>
    <w:p>
      <w:pPr>
        <w:pStyle w:val="BodyText"/>
      </w:pPr>
      <w:r>
        <w:drawing>
          <wp:inline>
            <wp:extent cx="5334000" cy="2714960"/>
            <wp:effectExtent b="0" l="0" r="0" t="0"/>
            <wp:docPr descr="image.png" title="" id="7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22145241019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49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：收银端新增【报表】入口，可直接查看后台配置的云端报表，并通过顶部菜单快速切换不同报表。</w:t>
      </w:r>
    </w:p>
    <w:p>
      <w:pPr>
        <w:pStyle w:val="BodyText"/>
      </w:pPr>
      <w:r>
        <w:drawing>
          <wp:inline>
            <wp:extent cx="5334000" cy="3999010"/>
            <wp:effectExtent b="0" l="0" r="0" t="0"/>
            <wp:docPr descr="image.png" title="" id="7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21181410125.png" id="74" name="Picture"/>
                    <pic:cNvPicPr>
                      <a:picLocks noChangeArrowheads="1"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90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162895"/>
            <wp:effectExtent b="0" l="0" r="0" t="0"/>
            <wp:docPr descr="image.png" title="" id="7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22151830722.png" id="77" name="Picture"/>
                    <pic:cNvPicPr>
                      <a:picLocks noChangeArrowheads="1"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28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78"/>
    <w:bookmarkStart w:id="79" w:name="Xb535119c2833e9c8515434c24a8e4a95aaeebcb"/>
    <w:p>
      <w:pPr>
        <w:pStyle w:val="Heading1"/>
      </w:pPr>
      <w:r>
        <w:t xml:space="preserve">11. </w:t>
      </w:r>
      <w:r>
        <w:rPr>
          <w:rFonts w:hint="eastAsia"/>
        </w:rPr>
        <w:t xml:space="preserve">新版销售单据支持次卡消费部分退货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：顾客使用次卡消费后，可能只需退回部分商品，门店需要按实际退货内容返还次卡次数，避免整单退货后重新收银。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：新版【销售单据】支持商品次卡消费部分退货，可分次退回商品，并返还对应的次卡次数。套餐次卡也支持退货返还次数，但需将同一套餐内的商品一起退回。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同一次消费中合并记录的多份相同套餐次卡，需一并退回，暂不支持只退其中一份。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旧版客户端未记录套餐明细的套餐次卡订单，不支持部分退货。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网单使用多种支付方式组合支付时，不支持部分退货；套餐次卡网单目前仅支持整单退回。</w:t>
      </w:r>
    </w:p>
    <w:bookmarkEnd w:id="79"/>
    <w:bookmarkStart w:id="80" w:name="Xcb6aa2c9597f4d1b1844228653d2b89a4c086c9"/>
    <w:p>
      <w:pPr>
        <w:pStyle w:val="Heading1"/>
      </w:pPr>
      <w:r>
        <w:t xml:space="preserve">12. </w:t>
      </w:r>
      <w:r>
        <w:rPr>
          <w:rFonts w:hint="eastAsia"/>
        </w:rPr>
        <w:t xml:space="preserve">外卖、自营网单及自助单支持同步套餐信息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：外卖、自营网单及自助单的套餐信息不完整时，收银端难以还原套餐明细，影响单据记录、显示和后续退货识别。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网单套餐信息同步</w:t>
      </w:r>
      <w:r>
        <w:rPr>
          <w:rFonts w:hint="eastAsia"/>
        </w:rPr>
        <w:t xml:space="preserve">：普通套餐和套餐次卡订单均支持同步套餐明细及批次信息。无论订单自动接收还是手动同步，收银后都能完整记录套餐信息。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套餐次卡退货识别</w:t>
      </w:r>
      <w:r>
        <w:rPr>
          <w:rFonts w:hint="eastAsia"/>
        </w:rPr>
        <w:t xml:space="preserve">：套餐次卡订单收银后，可正确记录次卡扣减次数，后续退货时能够识别对应的套餐次卡。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自助单套餐信息同步</w:t>
      </w:r>
      <w:r>
        <w:rPr>
          <w:rFonts w:hint="eastAsia"/>
        </w:rPr>
        <w:t xml:space="preserve">：自助单中的普通套餐支持同步并记录套餐信息，自动接收和手动同步均支持。</w:t>
      </w:r>
    </w:p>
    <w:p>
      <w:pPr>
        <w:pStyle w:val="FirstParagraph"/>
      </w:pPr>
      <w:r>
        <w:rPr>
          <w:rFonts w:hint="eastAsia"/>
          <w:b/>
          <w:bCs/>
        </w:rPr>
        <w:t xml:space="preserve">使用说明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使用多种支付方式组合支付的网单，暂不支持部分退货。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旧版客户端已收银的套餐次卡网单，在新版客户端操作部分退货时，会提示“旧版套餐次卡，不允许部分退”。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小程序自助下单暂不支持使用次卡，先支付和后支付模式均不支持。</w:t>
      </w:r>
    </w:p>
    <w:bookmarkEnd w:id="80"/>
    <w:bookmarkStart w:id="81" w:name="Xed70e285e61c53f11db64db463ad55eddd62358"/>
    <w:p>
      <w:pPr>
        <w:pStyle w:val="Heading1"/>
      </w:pPr>
      <w:r>
        <w:t xml:space="preserve">13. </w:t>
      </w:r>
      <w:r>
        <w:rPr>
          <w:rFonts w:hint="eastAsia"/>
        </w:rPr>
        <w:t xml:space="preserve">作废、反结账及整单退支持冲正无法撤销的第三方团购券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：团购券超过平台可撤销时限后，相关单据无法继续作废、反结账或整单退。商家在平台端另行退款或撤券后，也需要处理银豹侧状态，便于对账。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：操作作废、反结账或整单退时，系统先检查团购券能否撤销。可撤销时按正常流程处理；因超时等符合冲正条件的情况无法撤销时，显示原因，由商家选择继续冲正或取消操作。其他错误不会直接放行。</w:t>
      </w:r>
    </w:p>
    <w:p>
      <w:pPr>
        <w:pStyle w:val="BodyText"/>
      </w:pPr>
      <w:r>
        <w:rPr>
          <w:rFonts w:hint="eastAsia"/>
        </w:rPr>
        <w:t xml:space="preserve">网单作废仍须遵守配送限制：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需取消第三方同城配送时，应选择对应配送平台的取消原因；配送中或已完成时不允许取消。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配送取消失败时，不会继续撤券或作废网单。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菜鸟裹裹物流不支持通过此操作取消配送，会显示相应提示。</w:t>
      </w:r>
    </w:p>
    <w:p>
      <w:pPr>
        <w:pStyle w:val="FirstParagraph"/>
      </w:pPr>
      <w:r>
        <w:rPr>
          <w:rFonts w:hint="eastAsia"/>
          <w:b/>
          <w:bCs/>
        </w:rPr>
        <w:t xml:space="preserve">注意事项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团购券冲正仅调整银豹侧状态，不会自动撤销第三方平台的券或退款，商家仍需到对应平台完成撤券或退款处理。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</w:rPr>
        <w:t xml:space="preserve">使用团购券冲正仍须遵守配送取消限制，不能绕过配送状态检查。</w:t>
      </w:r>
    </w:p>
    <w:bookmarkEnd w:id="81"/>
    <w:bookmarkStart w:id="88" w:name="Xbc340972660cc12cffbbf79c34c0c437f82a27d"/>
    <w:p>
      <w:pPr>
        <w:pStyle w:val="Heading1"/>
      </w:pPr>
      <w:r>
        <w:t xml:space="preserve">14. </w:t>
      </w:r>
      <w:r>
        <w:rPr>
          <w:rFonts w:hint="eastAsia"/>
        </w:rPr>
        <w:t xml:space="preserve">商品部分退货支持自定义退款金额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：数码家电商品售出后，如因包装拆封等原因需要协商扣减退款金额，门店希望在退货时灵活调整金额，无需按原价全额退款。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：售后工具开启【PC数码家电商品退货小计可编辑】配置。</w:t>
      </w:r>
    </w:p>
    <w:p>
      <w:pPr>
        <w:pStyle w:val="BodyText"/>
      </w:pPr>
      <w:r>
        <w:drawing>
          <wp:inline>
            <wp:extent cx="5334000" cy="3377526"/>
            <wp:effectExtent b="0" l="0" r="0" t="0"/>
            <wp:docPr descr="image.png" title="" id="8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obsidian-paste-KwksLX-0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775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：从【部分退货】入口操作时，支持修改商品的退货小计，按协商金额退款。金额可调低至</w:t>
      </w:r>
      <w:r>
        <w:t xml:space="preserve"> 0 </w:t>
      </w:r>
      <w:r>
        <w:rPr>
          <w:rFonts w:hint="eastAsia"/>
        </w:rPr>
        <w:t xml:space="preserve">元，最多保留两位小数，不得超过所选退货数量对应的原销售金额，退款合计随修改同步更新。</w:t>
      </w:r>
    </w:p>
    <w:p>
      <w:pPr>
        <w:pStyle w:val="BodyText"/>
      </w:pPr>
      <w:r>
        <w:rPr>
          <w:rFonts w:hint="eastAsia"/>
          <w:b/>
          <w:bCs/>
        </w:rPr>
        <w:t xml:space="preserve">使用说明</w:t>
      </w:r>
      <w:r>
        <w:rPr>
          <w:rFonts w:hint="eastAsia"/>
        </w:rPr>
        <w:t xml:space="preserve">：适用于符合部分退货条件的店内单和自助单；网单、【整单退】入口及本地设备支付不支持修改退货金额。</w:t>
      </w:r>
    </w:p>
    <w:p>
      <w:pPr>
        <w:pStyle w:val="BodyText"/>
      </w:pPr>
      <w:r>
        <w:drawing>
          <wp:inline>
            <wp:extent cx="5334000" cy="3330883"/>
            <wp:effectExtent b="0" l="0" r="0" t="0"/>
            <wp:docPr descr="image.png" title="" id="8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obsidian-paste-yH3SYU-0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308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88"/>
    <w:bookmarkStart w:id="95" w:name="X5bb9beb71f788dd0f191a28e1e7bc56bbe4e53e"/>
    <w:p>
      <w:pPr>
        <w:pStyle w:val="Heading1"/>
      </w:pPr>
      <w:r>
        <w:t xml:space="preserve">15. </w:t>
      </w:r>
      <w:r>
        <w:rPr>
          <w:rFonts w:hint="eastAsia"/>
        </w:rPr>
        <w:t xml:space="preserve">支持设置任意抹零金额及单笔抹零上限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：门店结账时需要根据实际情况灵活输入抹零金额，同时按员工权限控制单笔抹零额度，兼顾收银效率与优惠管理。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：在云端【系统设置</w:t>
      </w:r>
      <w:r>
        <w:t xml:space="preserve"> → </w:t>
      </w:r>
      <w:r>
        <w:rPr>
          <w:rFonts w:hint="eastAsia"/>
        </w:rPr>
        <w:t xml:space="preserve">收银抹零设置】中开启【允许设置任意抹零金额】；如需限制额度，在员工或角色的价格权限中设置【限制单笔抹零金额上限】，额度须大于0元。云端设置入口仅对餐饮中餐、酒吧行业开放。</w:t>
      </w:r>
    </w:p>
    <w:p>
      <w:pPr>
        <w:pStyle w:val="BodyText"/>
      </w:pPr>
      <w:r>
        <w:drawing>
          <wp:inline>
            <wp:extent cx="5334000" cy="3642113"/>
            <wp:effectExtent b="0" l="0" r="0" t="0"/>
            <wp:docPr descr="image.png" title="" id="9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obsidian-paste-rj06gC-0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21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：开启后，收银端抹零界面新增【任意金额】，支持手动输入要抹掉的金额。超过当前收银员的单笔上限时，需由额度足够或未设置上限的工号授权后操作，抹零后订单金额最低为</w:t>
      </w:r>
      <w:r>
        <w:t xml:space="preserve"> 0 </w:t>
      </w:r>
      <w:r>
        <w:rPr>
          <w:rFonts w:hint="eastAsia"/>
        </w:rPr>
        <w:t xml:space="preserve">元。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image.png" title="" id="9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obsidian-paste-payT92-0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95"/>
    <w:bookmarkStart w:id="99" w:name="X272df8edc0b261d9d7afeafbc0183948ed06550"/>
    <w:p>
      <w:pPr>
        <w:pStyle w:val="Heading1"/>
      </w:pPr>
      <w:r>
        <w:t xml:space="preserve">16. </w:t>
      </w:r>
      <w:r>
        <w:rPr>
          <w:rFonts w:hint="eastAsia"/>
        </w:rPr>
        <w:t xml:space="preserve">固价商品支持选择参与会员优惠及抹零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：固价商品默认不享受会员价或会员折扣，抹零也受金额分摊规则限制，门店需要根据经营需求灵活设置固价商品可享受的优惠。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：在云端【系统设置</w:t>
      </w:r>
      <w:r>
        <w:t xml:space="preserve"> → </w:t>
      </w:r>
      <w:r>
        <w:rPr>
          <w:rFonts w:hint="eastAsia"/>
        </w:rPr>
        <w:t xml:space="preserve">收银端设置】中配置【固价商品可使用的优惠】。云端设置入口仅对餐饮中餐、酒吧行业开放。</w:t>
      </w:r>
    </w:p>
    <w:p>
      <w:pPr>
        <w:pStyle w:val="BodyText"/>
      </w:pPr>
      <w:r>
        <w:drawing>
          <wp:inline>
            <wp:extent cx="5334000" cy="2083763"/>
            <wp:effectExtent b="0" l="0" r="0" t="0"/>
            <wp:docPr descr="image.png" title="" id="9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obsidian-paste-Kuec3x-0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3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【会员价】【抹零】可分别勾选：勾选【会员价】后，固价商品可享受会员价或会员折扣；勾选【抹零】后，固价商品可参与抹零，包含抹零均摊。默认均不勾选，未勾选的项目保持原有规则，其中不均摊抹零仍按原规则执行。</w:t>
      </w:r>
    </w:p>
    <w:bookmarkEnd w:id="99"/>
    <w:bookmarkStart w:id="100" w:name="Xc98b8bd3f710aad9045875fc0b42d872869643e"/>
    <w:p>
      <w:pPr>
        <w:pStyle w:val="Heading1"/>
      </w:pPr>
      <w:r>
        <w:t xml:space="preserve">17. </w:t>
      </w:r>
      <w:r>
        <w:rPr>
          <w:rFonts w:hint="eastAsia"/>
        </w:rPr>
        <w:t xml:space="preserve">银豹付扫码收款支持提示顾客输入密码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快速收银场景下，顾客出示付款码后可能直接离店，收银员无法及时判断支付等待是网络延迟，还是需要顾客输入密码。拦下顾客确认容易引发不满，未及时提醒又可能导致收款失败、造成门店损失，因此需要在顾客需输入密码时及时显示明确提示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：优化银豹付扫码收款提示，当支付需要顾客输入密码时，收银端及时显示提示，便于收银员引导顾客完成支付。</w:t>
      </w:r>
    </w:p>
    <w:bookmarkEnd w:id="100"/>
    <w:bookmarkStart w:id="104" w:name="X3409395964755076ebd294075fdbe8f28121b26"/>
    <w:p>
      <w:pPr>
        <w:pStyle w:val="Heading1"/>
      </w:pPr>
      <w:r>
        <w:t xml:space="preserve">18. </w:t>
      </w:r>
      <w:r>
        <w:rPr>
          <w:rFonts w:hint="eastAsia"/>
        </w:rPr>
        <w:t xml:space="preserve">配送小票支持收货人姓名脱敏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：配送小票需要隐藏收货人的完整姓名，减少个人信息外露。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：在云端【高级小票模板</w:t>
      </w:r>
      <w:r>
        <w:t xml:space="preserve"> → </w:t>
      </w:r>
      <w:r>
        <w:rPr>
          <w:rFonts w:hint="eastAsia"/>
        </w:rPr>
        <w:t xml:space="preserve">配送小票</w:t>
      </w:r>
      <w:r>
        <w:t xml:space="preserve"> → </w:t>
      </w:r>
      <w:r>
        <w:rPr>
          <w:rFonts w:hint="eastAsia"/>
        </w:rPr>
        <w:t xml:space="preserve">配送信息】中添加【收货人姓名-脱敏】字段。该字段仅对生鲜行业开放。</w:t>
      </w:r>
    </w:p>
    <w:p>
      <w:pPr>
        <w:pStyle w:val="BodyText"/>
      </w:pPr>
      <w:r>
        <w:drawing>
          <wp:inline>
            <wp:extent cx="5334000" cy="2023528"/>
            <wp:effectExtent b="0" l="0" r="0" t="0"/>
            <wp:docPr descr="image.png" title="" id="10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obsidian-paste-itIJsQ-0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235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：配送小票可按模板打印脱敏后的收货人姓名：姓名不超过2个字时仅显示首字；超过2个字时保留首尾字，中间用“*”隐藏。该设置仅影响小票展示，不修改收货人原始姓名。</w:t>
      </w:r>
    </w:p>
    <w:bookmarkEnd w:id="104"/>
    <w:bookmarkStart w:id="111" w:name="X333a8564d61af408b412556601a887dce78c5b7"/>
    <w:p>
      <w:pPr>
        <w:pStyle w:val="Heading1"/>
      </w:pPr>
      <w:r>
        <w:t xml:space="preserve">19. </w:t>
      </w:r>
      <w:r>
        <w:rPr>
          <w:rFonts w:hint="eastAsia"/>
        </w:rPr>
        <w:t xml:space="preserve">【网络订单】支持填写物流单号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：前台员工没有登录云端后台的权限，需要直接在收银端【网络订单】中填写物流单号，便于顾客在小程序查看物流进度。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：收银端【网络订单】新增填写物流单号功能，门店可为对应订单录入物流单号，会员可在小程序查看相应物流进度。</w:t>
      </w:r>
    </w:p>
    <w:p>
      <w:pPr>
        <w:pStyle w:val="BodyText"/>
      </w:pPr>
      <w:r>
        <w:drawing>
          <wp:inline>
            <wp:extent cx="5334000" cy="4004218"/>
            <wp:effectExtent b="0" l="0" r="0" t="0"/>
            <wp:docPr descr="image.png" title="" id="10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obsidian-paste-1LSdig-0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42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329582"/>
            <wp:effectExtent b="0" l="0" r="0" t="0"/>
            <wp:docPr descr="image.png" title="" id="10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obsidian-paste-IqcQ7y-0.png" id="110" name="Picture"/>
                    <pic:cNvPicPr>
                      <a:picLocks noChangeArrowheads="1"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295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11"/>
    <w:bookmarkStart w:id="112" w:name="X4e1ed9fcf9570e1672b931bec45dc674f665454"/>
    <w:p>
      <w:pPr>
        <w:pStyle w:val="Heading1"/>
      </w:pPr>
      <w:r>
        <w:t xml:space="preserve">20. </w:t>
      </w:r>
      <w:r>
        <w:rPr>
          <w:rFonts w:hint="eastAsia"/>
        </w:rPr>
        <w:t xml:space="preserve">香港通联支持交接班时自动结算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：香港通联需要在交接班时自动结算。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：香港通联支持交接班时自动结算。</w:t>
      </w:r>
    </w:p>
    <w:bookmarkEnd w:id="112"/>
    <w:bookmarkStart w:id="116" w:name="X9d2ccc23de20432e33f1467949fb8c1d83a433f"/>
    <w:p>
      <w:pPr>
        <w:pStyle w:val="Heading1"/>
      </w:pPr>
      <w:r>
        <w:t xml:space="preserve">21. </w:t>
      </w:r>
      <w:r>
        <w:rPr>
          <w:rFonts w:hint="eastAsia"/>
        </w:rPr>
        <w:t xml:space="preserve">货流通知支持显示本店进货单的供应商来源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：本店进货单原先显示当前门店为来源，收银员无法直接识别该单对应的供应商。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：货流通知中，本店进货单里已配置供应商的商品均属于同一供应商时，来源显示为“进货单</w:t>
      </w:r>
      <w:r>
        <w:t xml:space="preserve"> </w:t>
      </w:r>
      <w:r>
        <w:rPr>
          <w:rFonts w:hint="eastAsia"/>
        </w:rPr>
        <w:t xml:space="preserve">由XX供货”。未配置供应商的商品不参与判断；非本店进货单、存在多个供应商、全部未配置供应商或无法获取供应商名称时，保持原门店来源显示。</w:t>
      </w:r>
    </w:p>
    <w:p>
      <w:pPr>
        <w:pStyle w:val="BodyText"/>
      </w:pPr>
      <w:r>
        <w:drawing>
          <wp:inline>
            <wp:extent cx="5334000" cy="4014678"/>
            <wp:effectExtent b="0" l="0" r="0" t="0"/>
            <wp:docPr descr="image.png" title="" id="1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obsidian-paste-mRZ8qh-0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46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16"/>
    <w:bookmarkStart w:id="117" w:name="X177fb717afec53c531b9b841dc5de569fbd6016"/>
    <w:p>
      <w:pPr>
        <w:pStyle w:val="Heading1"/>
      </w:pPr>
      <w:r>
        <w:t xml:space="preserve">22. </w:t>
      </w:r>
      <w:r>
        <w:rPr>
          <w:rFonts w:hint="eastAsia"/>
        </w:rPr>
        <w:t xml:space="preserve">修复预订单到店结算后商品折扣明细错误问题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：预订单到店结算生成销售单据时，部分商品折扣明细记录有误，导致【销售单据】的折让金额与【折扣分析表】的折让总额不一致。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：已修复。</w:t>
      </w:r>
    </w:p>
    <w:bookmarkEnd w:id="117"/>
    <w:bookmarkStart w:id="118" w:name="X7434fd77bfd20df2d0c4b5dec5564e8caad943c"/>
    <w:p>
      <w:pPr>
        <w:pStyle w:val="Heading1"/>
      </w:pPr>
      <w:r>
        <w:t xml:space="preserve">23. </w:t>
      </w:r>
      <w:r>
        <w:rPr>
          <w:rFonts w:hint="eastAsia"/>
        </w:rPr>
        <w:t xml:space="preserve">修复抖音券转预付卡后禁用状态显示不同步问题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：抖音券转为预付卡后，后台已禁用该卡，但PC会员中心仍显示可用，造成卡片展示与实际状态不一致。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：已修复。禁用后的预付卡在会员查询页面显示为已禁用，收银及预订单支付页面不再列为可用卡片。</w:t>
      </w:r>
    </w:p>
    <w:bookmarkEnd w:id="118"/>
    <w:bookmarkStart w:id="122" w:name="Xdb9996f1a2c1046ee2c87fe50272bff578c5e1a"/>
    <w:p>
      <w:pPr>
        <w:pStyle w:val="Heading1"/>
      </w:pPr>
      <w:r>
        <w:t xml:space="preserve">24. </w:t>
      </w:r>
      <w:r>
        <w:rPr>
          <w:rFonts w:hint="eastAsia"/>
        </w:rPr>
        <w:t xml:space="preserve">修复盘点单位不同导致库存数量换算错误问题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：盘点单位与商品主单位不同时，客户端未正确换算盘点数量，导致库存被错误更新。例如盘点录入900克，却按900瓶记录；按该商品单位换算规则，正确库存应为0.9瓶。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</w:t>
      </w:r>
    </w:p>
    <w:p>
      <w:pPr>
        <w:pStyle w:val="BodyText"/>
      </w:pPr>
      <w:r>
        <w:drawing>
          <wp:inline>
            <wp:extent cx="5334000" cy="2780466"/>
            <wp:effectExtent b="0" l="0" r="0" t="0"/>
            <wp:docPr descr="image.png" title="" id="12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20261021180347329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804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22"/>
    <w:bookmarkStart w:id="123" w:name="Xe335f7392d9d33089cbe8d680c42c3786a676df"/>
    <w:p>
      <w:pPr>
        <w:pStyle w:val="Heading1"/>
      </w:pPr>
      <w:r>
        <w:t xml:space="preserve">25. </w:t>
      </w:r>
      <w:r>
        <w:rPr>
          <w:rFonts w:hint="eastAsia"/>
        </w:rPr>
        <w:t xml:space="preserve">修复PC旧版本升级至3873及后续版本时数据校验失败问题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：PC旧版本升级至3873及后续版本时，部分门店原有的读卡模式设置会被误判为数据迁移异常，导致升级校验不通过、升级失败。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：已修复。</w:t>
      </w:r>
    </w:p>
    <w:bookmarkEnd w:id="123"/>
    <w:bookmarkStart w:id="124" w:name="Xfe2a9fa959945654b037ac74d749ef1a02d322d"/>
    <w:p>
      <w:pPr>
        <w:pStyle w:val="Heading1"/>
      </w:pPr>
      <w:r>
        <w:t xml:space="preserve">26. </w:t>
      </w:r>
      <w:r>
        <w:rPr>
          <w:rFonts w:hint="eastAsia"/>
        </w:rPr>
        <w:t xml:space="preserve">修复美团券叠加其他折扣时销售界面单价显示异常问题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：美团券与其他折扣叠加使用时，销售界面单价显示异常。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：已修复。</w:t>
      </w:r>
    </w:p>
    <w:bookmarkEnd w:id="124"/>
    <w:bookmarkStart w:id="125" w:name="X631cea4e082ed8e4e7830e0fe40760654612ed1"/>
    <w:p>
      <w:pPr>
        <w:pStyle w:val="Heading1"/>
      </w:pPr>
      <w:r>
        <w:t xml:space="preserve">27. </w:t>
      </w:r>
      <w:r>
        <w:rPr>
          <w:rFonts w:hint="eastAsia"/>
        </w:rPr>
        <w:t xml:space="preserve">修复支付3.0界面会员绑定预付卡张数不显示问题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：会员已绑定预付卡，但支付3.0界面的预付卡支付按钮未显示绑定张数，需进入卡片列表才能查看。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：已修复。</w:t>
      </w:r>
    </w:p>
    <w:bookmarkEnd w:id="125"/>
    <w:bookmarkStart w:id="126" w:name="X301bc5f430894f1745efc39b84509c5809efb44"/>
    <w:p>
      <w:pPr>
        <w:pStyle w:val="Heading1"/>
      </w:pPr>
      <w:r>
        <w:t xml:space="preserve">28. </w:t>
      </w:r>
      <w:r>
        <w:rPr>
          <w:rFonts w:hint="eastAsia"/>
        </w:rPr>
        <w:t xml:space="preserve">修复无订金预订单开台后无法部分退货问题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：预订单开台后，即使未收取订金，相关销售单据仍无法操作部分退货。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：已优化，无订金的预约单、烘焙预订单及小程序预订单等相关销售单据可操作部分退货；有订金的单据仍不支持部分退货，入口置灰。</w:t>
      </w:r>
    </w:p>
    <w:bookmarkEnd w:id="126"/>
    <w:bookmarkStart w:id="127" w:name="X8e5bee762864e84a2785f0de800db899041abaa"/>
    <w:p>
      <w:pPr>
        <w:pStyle w:val="Heading1"/>
      </w:pPr>
      <w:r>
        <w:t xml:space="preserve">29. </w:t>
      </w:r>
      <w:r>
        <w:rPr>
          <w:rFonts w:hint="eastAsia"/>
        </w:rPr>
        <w:t xml:space="preserve">修复会员侧边栏优惠券选中状态丢失问题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：在会员侧边栏选用优惠券后，向下滚动列表再返回，已选标识消失，导致同一张券可被重复选中。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：已修复。</w:t>
      </w:r>
    </w:p>
    <w:bookmarkEnd w:id="127"/>
    <w:bookmarkStart w:id="128" w:name="Xc21998164a49a002713038abf0f30b7a2efc698"/>
    <w:p>
      <w:pPr>
        <w:pStyle w:val="Heading1"/>
      </w:pPr>
      <w:r>
        <w:t xml:space="preserve">30. </w:t>
      </w:r>
      <w:r>
        <w:rPr>
          <w:rFonts w:hint="eastAsia"/>
        </w:rPr>
        <w:t xml:space="preserve">修复销售单据丢失问题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：个别订单已打印收银小票，但本地及云端均未生成对应销售单据，影响单据查询与核对。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：已修复。</w:t>
      </w:r>
    </w:p>
    <w:bookmarkEnd w:id="128"/>
    <w:bookmarkStart w:id="129" w:name="X6cdbfeba9e52aa451173345eba5534260bc98f4"/>
    <w:p>
      <w:pPr>
        <w:pStyle w:val="Heading1"/>
      </w:pPr>
      <w:r>
        <w:t xml:space="preserve">31. </w:t>
      </w:r>
      <w:r>
        <w:rPr>
          <w:rFonts w:hint="eastAsia"/>
        </w:rPr>
        <w:t xml:space="preserve">修复AI商品识别第二次操作时报错问题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：使用AI商品识别时，第二次点击识别出现异常报错，影响连续识别操作。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：已修复。</w:t>
      </w:r>
    </w:p>
    <w:bookmarkEnd w:id="129"/>
    <w:bookmarkStart w:id="130" w:name="Xce4245db9ccb1f74a52ab6581d7304bda194c00"/>
    <w:p>
      <w:pPr>
        <w:pStyle w:val="Heading1"/>
      </w:pPr>
      <w:r>
        <w:t xml:space="preserve">32. </w:t>
      </w:r>
      <w:r>
        <w:rPr>
          <w:rFonts w:hint="eastAsia"/>
        </w:rPr>
        <w:t xml:space="preserve">修复部分二级行业功能菜单显示不完整问题</w:t>
      </w:r>
    </w:p>
    <w:p>
      <w:pPr>
        <w:pStyle w:val="FirstParagraph"/>
      </w:pPr>
      <w:r>
        <w:rPr>
          <w:rFonts w:hint="eastAsia"/>
          <w:b/>
          <w:bCs/>
        </w:rPr>
        <w:t xml:space="preserve">场景/问题</w:t>
      </w:r>
      <w:r>
        <w:rPr>
          <w:rFonts w:hint="eastAsia"/>
        </w:rPr>
        <w:t xml:space="preserve">：生鲜部分二级行业未正常显示一级行业已开放的通用商品管理菜单，如快速调价、商品分割等。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：已修复，未单独限制二级行业的生鲜通用菜单可正常显示，原有权限和菜单自身显示条件继续生效。</w:t>
      </w:r>
    </w:p>
    <w:bookmarkEnd w:id="1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9" Target="media/rId119.png" /><Relationship Type="http://schemas.openxmlformats.org/officeDocument/2006/relationships/image" Id="rId72" Target="media/rId72.png" /><Relationship Type="http://schemas.openxmlformats.org/officeDocument/2006/relationships/image" Id="rId44" Target="media/rId44.png" /><Relationship Type="http://schemas.openxmlformats.org/officeDocument/2006/relationships/image" Id="rId47" Target="media/rId47.png" /><Relationship Type="http://schemas.openxmlformats.org/officeDocument/2006/relationships/image" Id="rId65" Target="media/rId65.png" /><Relationship Type="http://schemas.openxmlformats.org/officeDocument/2006/relationships/image" Id="rId69" Target="media/rId69.png" /><Relationship Type="http://schemas.openxmlformats.org/officeDocument/2006/relationships/image" Id="rId75" Target="media/rId75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105" Target="media/rId105.png" /><Relationship Type="http://schemas.openxmlformats.org/officeDocument/2006/relationships/image" Id="rId26" Target="media/rId26.png" /><Relationship Type="http://schemas.openxmlformats.org/officeDocument/2006/relationships/image" Id="rId108" Target="media/rId108.png" /><Relationship Type="http://schemas.openxmlformats.org/officeDocument/2006/relationships/image" Id="rId96" Target="media/rId96.png" /><Relationship Type="http://schemas.openxmlformats.org/officeDocument/2006/relationships/image" Id="rId82" Target="media/rId82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30" Target="media/rId30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101" Target="media/rId101.png" /><Relationship Type="http://schemas.openxmlformats.org/officeDocument/2006/relationships/image" Id="rId113" Target="media/rId113.png" /><Relationship Type="http://schemas.openxmlformats.org/officeDocument/2006/relationships/image" Id="rId92" Target="media/rId92.png" /><Relationship Type="http://schemas.openxmlformats.org/officeDocument/2006/relationships/image" Id="rId89" Target="media/rId89.png" /><Relationship Type="http://schemas.openxmlformats.org/officeDocument/2006/relationships/image" Id="rId85" Target="media/rId85.png" /><Relationship Type="http://schemas.openxmlformats.org/officeDocument/2006/relationships/image" Id="rId62" Target="media/rId62.json" /><Relationship Type="http://schemas.openxmlformats.org/officeDocument/2006/relationships/hyperlink" Id="rId53" Target="https://pospalbakery.cn/%E4%B8%9A%E5%8A%A1%E6%89%8B%E5%86%8C/%E9%93%B6%E8%B1%B9%E5%95%86%E5%93%81%E6%8B%86%E5%88%86%E4%B8%9A%E5%8A%A1%E6%89%8B%E5%86%8C" TargetMode="External" /><Relationship Type="http://schemas.openxmlformats.org/officeDocument/2006/relationships/hyperlink" Id="rId51" Target="https://pospalbakery.cn/%E4%B8%9A%E5%8A%A1%E6%89%8B%E5%86%8C/%E9%93%B6%E8%B1%B9%E6%96%B0%E7%89%88%E7%94%9F%E4%BA%A7%E5%88%B6%E4%BD%9C%E4%B8%9A%E5%8A%A1%E6%89%8B%E5%86%8C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3" Target="https://pospalbakery.cn/%E4%B8%9A%E5%8A%A1%E6%89%8B%E5%86%8C/%E9%93%B6%E8%B1%B9%E5%95%86%E5%93%81%E6%8B%86%E5%88%86%E4%B8%9A%E5%8A%A1%E6%89%8B%E5%86%8C" TargetMode="External" /><Relationship Type="http://schemas.openxmlformats.org/officeDocument/2006/relationships/hyperlink" Id="rId51" Target="https://pospalbakery.cn/%E4%B8%9A%E5%8A%A1%E6%89%8B%E5%86%8C/%E9%93%B6%E8%B1%B9%E6%96%B0%E7%89%88%E7%94%9F%E4%BA%A7%E5%88%B6%E4%BD%9C%E4%B8%9A%E5%8A%A1%E6%89%8B%E5%86%8C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PC烘焙版V4.71.204.5457更新日志(2026.10.27)（客户版）</dc:title>
  <dc:creator/>
  <dc:language>zh-CN</dc:language>
  <cp:keywords/>
  <dcterms:created xsi:type="dcterms:W3CDTF">2026-10-28T00:23:13Z</dcterms:created>
  <dcterms:modified xsi:type="dcterms:W3CDTF">2026-10-28T00:23:13Z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