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拆分汇总表</w:t>
      </w:r>
    </w:p>
    <w:bookmarkStart w:id="9" w:name="拆分汇总表"/>
    <w:p>
      <w:pPr>
        <w:pStyle w:val="Heading1"/>
      </w:pPr>
      <w:r>
        <w:rPr>
          <w:rFonts w:hint="eastAsia"/>
        </w:rPr>
        <w:t xml:space="preserve">拆分汇总表</w:t>
      </w:r>
    </w:p>
    <w:bookmarkEnd w:id="9"/>
    <w:bookmarkStart w:id="13" w:name="查询拆分明细"/>
    <w:p>
      <w:pPr>
        <w:pStyle w:val="Heading1"/>
      </w:pPr>
      <w:r>
        <w:rPr>
          <w:rFonts w:hint="eastAsia"/>
        </w:rPr>
        <w:t xml:space="preserve">查询拆分明细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</w:t>
      </w:r>
      <w:r>
        <w:t xml:space="preserve"> → </w:t>
      </w:r>
      <w:r>
        <w:rPr>
          <w:rFonts w:hint="eastAsia"/>
        </w:rPr>
        <w:t xml:space="preserve">云烘焙后台</w:t>
      </w:r>
      <w:r>
        <w:t xml:space="preserve"> → </w:t>
      </w:r>
      <w:r>
        <w:rPr>
          <w:rFonts w:hint="eastAsia"/>
        </w:rPr>
        <w:t xml:space="preserve">生产管理</w:t>
      </w:r>
      <w:r>
        <w:t xml:space="preserve"> → </w:t>
      </w:r>
      <w:r>
        <w:rPr>
          <w:rFonts w:hint="eastAsia"/>
        </w:rPr>
        <w:t xml:space="preserve">拆分汇总表。</w:t>
      </w:r>
    </w:p>
    <w:p>
      <w:pPr>
        <w:pStyle w:val="BodyText"/>
      </w:pPr>
      <w:r>
        <w:rPr>
          <w:rFonts w:hint="eastAsia"/>
          <w:b/>
          <w:bCs/>
        </w:rPr>
        <w:t xml:space="preserve">查询条件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门店：操作门店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商品分类：拆分父件商品分类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操作日期：商品拆分操作时间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商品信息：拆分父件商品名称或条码。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选择门店和操作日期，选择母件分类或输入母件名称、条码。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点击【查询】。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点击对应行的【明细】，查看产出商品和数量。</w:t>
      </w:r>
    </w:p>
    <w:p>
      <w:pPr>
        <w:pStyle w:val="FirstParagraph"/>
      </w:pPr>
      <w:r>
        <w:rPr>
          <w:rFonts w:hint="eastAsia"/>
          <w:b/>
          <w:bCs/>
        </w:rPr>
        <w:t xml:space="preserve">注意事项</w:t>
      </w:r>
      <w:r>
        <w:rPr>
          <w:rFonts w:hint="eastAsia"/>
        </w:rPr>
        <w:t xml:space="preserve">：本表将待拆分的母件称为“父件”；暂不支持按子件商品查询。</w:t>
      </w:r>
    </w:p>
    <w:p>
      <w:pPr>
        <w:pStyle w:val="BodyText"/>
      </w:pPr>
      <w:r>
        <w:drawing>
          <wp:inline>
            <wp:extent cx="5334000" cy="2727424"/>
            <wp:effectExtent b="0" l="0" r="0" t="0"/>
            <wp:docPr descr="image.png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DxxlYA-0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74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列表字段说明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操作：默认【收起】，点击【明细】可展开子件明细；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门店名称：操作门店名称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父件商品：拆分父件商品名称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父件条码：拆分父件商品条码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规格：拆分父件商品规格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单位：拆分父件单位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标准出成率：预留字段暂不可用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实际出成率：预留字段暂不可用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父件数量：本条记录中的母件拆分数量，结合父件单位查看。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子件名称：拆分后产出的商品名称。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子件数量：本条记录中的子件产出数量，结合子件单位查看。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子件单位：产出商品对应的计量单位。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报损数量：记录来源和统计口径待确认。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成本金额：成本计算及分摊规则待确认。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成本均价：计算口径待确认。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拆分汇总表</dc:title>
  <dc:creator/>
  <dc:language>zh-CN</dc:language>
  <cp:keywords/>
  <dcterms:created xsi:type="dcterms:W3CDTF">2026-11-02T05:04:54Z</dcterms:created>
  <dcterms:modified xsi:type="dcterms:W3CDTF">2026-11-02T05:04:54Z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