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48.png" ContentType="image/png"/>
  <Override PartName="/word/media/rId51.png" ContentType="image/png"/>
  <Override PartName="/word/media/rId55.png" ContentType="image/png"/>
  <Override PartName="/word/media/rId59.png" ContentType="image/png"/>
  <Override PartName="/word/media/rId63.png" ContentType="image/png"/>
  <Override PartName="/word/media/rId69.png" ContentType="image/png"/>
  <Override PartName="/word/media/rId73.png" ContentType="image/png"/>
  <Override PartName="/word/media/rId77.png" ContentType="image/png"/>
  <Override PartName="/word/media/rId81.png" ContentType="image/png"/>
  <Override PartName="/word/media/rId84.png" ContentType="image/png"/>
  <Override PartName="/word/media/rId88.png" ContentType="image/png"/>
  <Override PartName="/word/media/rId91.png" ContentType="image/png"/>
  <Override PartName="/word/media/rId96.png" ContentType="image/png"/>
  <Override PartName="/word/media/rId100.png" ContentType="image/png"/>
  <Override PartName="/word/media/rId104.png" ContentType="image/png"/>
  <Override PartName="/word/media/rId108.png" ContentType="image/png"/>
  <Override PartName="/word/media/rId111.png" ContentType="image/png"/>
  <Override PartName="/word/media/rId115.png" ContentType="image/png"/>
  <Override PartName="/word/media/rId118.png" ContentType="image/png"/>
  <Override PartName="/word/media/rId121.png" ContentType="image/png"/>
  <Override PartName="/word/media/rId124.png" ContentType="image/png"/>
  <Override PartName="/word/media/rId128.png" ContentType="image/png"/>
  <Override PartName="/word/media/rId132.png" ContentType="image/png"/>
  <Override PartName="/word/media/rId136.png" ContentType="image/png"/>
  <Override PartName="/word/media/rId141.png" ContentType="image/png"/>
  <Override PartName="/word/media/rId1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供应链更新日志（2026.10.19）（客户版）</w:t>
      </w:r>
    </w:p>
    <w:bookmarkStart w:id="9" w:name="供应链更新日志2026.10.19客户版"/>
    <w:p>
      <w:pPr>
        <w:pStyle w:val="Heading1"/>
      </w:pPr>
      <w:r>
        <w:rPr>
          <w:rFonts w:hint="eastAsia"/>
        </w:rPr>
        <w:t xml:space="preserve">供应链更新日志（2026.10.19）（客户版）</w:t>
      </w:r>
    </w:p>
    <w:bookmarkEnd w:id="9"/>
    <w:bookmarkStart w:id="16" w:name="X8d0e659bd536c6c794da118aceb6c5083b375cd"/>
    <w:p>
      <w:pPr>
        <w:pStyle w:val="Heading1"/>
      </w:pPr>
      <w:r>
        <w:t xml:space="preserve">1. </w:t>
      </w:r>
      <w:r>
        <w:rPr>
          <w:rFonts w:hint="eastAsia"/>
        </w:rPr>
        <w:t xml:space="preserve">支持集团内不同公司主体之间结算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：连锁品牌进行集团化财税规划时，需要区分集团内不同公司主体之间的业务往来和结算关系。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：供应链新增以下企业主体之间的结算：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仓库之间的调拨结算。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工厂向仓库领料、退料的结算。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工厂生产入库至仓库的结算。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配送仓库向门店调拨时，配送仓库与品牌门店运营公司之间的门店订货款结算。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配送仓库向门店调拨时，品牌门店运营公司与门店之间的门店订货款结算。</w:t>
      </w:r>
    </w:p>
    <w:p>
      <w:pPr>
        <w:pStyle w:val="FirstParagraph"/>
      </w:pPr>
      <w:r>
        <w:drawing>
          <wp:inline>
            <wp:extent cx="5334000" cy="285419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4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79686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47" w:name="X3dde99bbfc3168aa16b84c68dd3d86c6d9d105c"/>
    <w:p>
      <w:pPr>
        <w:pStyle w:val="Heading1"/>
      </w:pPr>
      <w:r>
        <w:t xml:space="preserve">2. </w:t>
      </w:r>
      <w:r>
        <w:rPr>
          <w:rFonts w:hint="eastAsia"/>
        </w:rPr>
        <w:t xml:space="preserve">新增一站式设置商品供应链规则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：商品相关的供应链规则分散在不同入口，配置和核对时需要多次切换页面。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：新增“一站式设置商品供应链规则”菜单，将商品相关的供应链规则设置信息整合至同一入口，便于集中配置和维护。</w:t>
      </w:r>
    </w:p>
    <w:p>
      <w:pPr>
        <w:pStyle w:val="BodyText"/>
      </w:pPr>
      <w:r>
        <w:drawing>
          <wp:inline>
            <wp:extent cx="5334000" cy="2854190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4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24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76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39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5003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0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128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8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1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5491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09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4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4399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3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5228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1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2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213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2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2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54" w:name="X3bcce9a985203853a358808af535a81e38833bc"/>
    <w:p>
      <w:pPr>
        <w:pStyle w:val="Heading1"/>
      </w:pPr>
      <w:r>
        <w:t xml:space="preserve">3. </w:t>
      </w:r>
      <w:r>
        <w:rPr>
          <w:rFonts w:hint="eastAsia"/>
        </w:rPr>
        <w:t xml:space="preserve">采购及出库调整单支持反审核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：采购或出库调整单审核通过后，如发现信息需要修改，需要在尚未对账结算时撤回审核。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：采购进货调整单、采购退货和普通出库调整单，在审核通过且尚未对账结算时，支持反审核，修改后可重新提交审核。</w:t>
      </w:r>
    </w:p>
    <w:p>
      <w:pPr>
        <w:pStyle w:val="BodyText"/>
      </w:pPr>
      <w:r>
        <w:drawing>
          <wp:inline>
            <wp:extent cx="5334000" cy="2839363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3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9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61603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4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1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58" w:name="X9bc6ab986d388a41694906e230b6c5ef367e8e9"/>
    <w:p>
      <w:pPr>
        <w:pStyle w:val="Heading1"/>
      </w:pPr>
      <w:r>
        <w:t xml:space="preserve">4. </w:t>
      </w:r>
      <w:r>
        <w:rPr>
          <w:rFonts w:hint="eastAsia"/>
        </w:rPr>
        <w:t xml:space="preserve">代门店下单支持选择商品单位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：代门店下单时，多单位商品需要按实际订货单位录入数量。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：代门店下单支持为多单位商品选择单位。</w:t>
      </w:r>
    </w:p>
    <w:p>
      <w:pPr>
        <w:pStyle w:val="BodyText"/>
      </w:pPr>
      <w:r>
        <w:drawing>
          <wp:inline>
            <wp:extent cx="5334000" cy="316058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5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0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Start w:id="62" w:name="X35c6d61dd2a98b8a524fd0ffc455804ca965755"/>
    <w:p>
      <w:pPr>
        <w:pStyle w:val="Heading1"/>
      </w:pPr>
      <w:r>
        <w:t xml:space="preserve">5. </w:t>
      </w:r>
      <w:r>
        <w:rPr>
          <w:rFonts w:hint="eastAsia"/>
        </w:rPr>
        <w:t xml:space="preserve">供货商商品供货价调整及导入支持选择单位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：多单位商品的供货价此前默认按主单位处理，无法按实际供货单位调整或导入价格。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：供货商商品管理中，针对多单位商品，供货价调整和导入均支持选择单位。</w:t>
      </w:r>
    </w:p>
    <w:p>
      <w:pPr>
        <w:pStyle w:val="BodyText"/>
      </w:pPr>
      <w:r>
        <w:drawing>
          <wp:inline>
            <wp:extent cx="5334000" cy="286531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6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2"/>
    <w:bookmarkStart w:id="66" w:name="X71b0fffea58ff2eff63614a48b1beb7dea26b14"/>
    <w:p>
      <w:pPr>
        <w:pStyle w:val="Heading1"/>
      </w:pPr>
      <w:r>
        <w:t xml:space="preserve">6. </w:t>
      </w:r>
      <w:r>
        <w:rPr>
          <w:rFonts w:hint="eastAsia"/>
        </w:rPr>
        <w:t xml:space="preserve">购销供货商对账增加序号列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：核对购销供货商对账列表时，需要通过序号快速定位记录。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：购销供货商对账列表增加“序号”列。</w:t>
      </w:r>
    </w:p>
    <w:p>
      <w:pPr>
        <w:pStyle w:val="BodyText"/>
      </w:pPr>
      <w:r>
        <w:drawing>
          <wp:inline>
            <wp:extent cx="5334000" cy="2828243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7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6"/>
    <w:bookmarkStart w:id="67" w:name="X9dd6104a27720d5c97a482fd4baeb334fdc985c"/>
    <w:p>
      <w:pPr>
        <w:pStyle w:val="Heading1"/>
      </w:pPr>
      <w:r>
        <w:t xml:space="preserve">7. </w:t>
      </w:r>
      <w:r>
        <w:rPr>
          <w:rFonts w:hint="eastAsia"/>
        </w:rPr>
        <w:t xml:space="preserve">店长编辑预定单后支持审核提交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：开启“员工提交订货需要店长审核”后，店长编辑预定单状态的订货单并提交时，需要便捷完成后续审核。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：店长登录并编辑“预定单”状态的订货单，提交成功后的弹窗增加“审核提交”操作。</w:t>
      </w:r>
    </w:p>
    <w:bookmarkEnd w:id="67"/>
    <w:bookmarkStart w:id="68" w:name="Xf6298f8f9b7a7d334ba4489053b215c6f4b06c0"/>
    <w:p>
      <w:pPr>
        <w:pStyle w:val="Heading1"/>
      </w:pPr>
      <w:r>
        <w:t xml:space="preserve">8. </w:t>
      </w:r>
      <w:r>
        <w:rPr>
          <w:rFonts w:hint="eastAsia"/>
        </w:rPr>
        <w:t xml:space="preserve">采购计划单支持导入商品单位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：导入包含多单位商品的采购计划时，需要同时明确采购数量对应的单位。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：采购计划单导入支持导入多单位商品的单位信息。</w:t>
      </w:r>
    </w:p>
    <w:bookmarkEnd w:id="68"/>
    <w:bookmarkStart w:id="72" w:name="X0416e7023d6fcc0292f3c1961e9b11f9ae87360"/>
    <w:p>
      <w:pPr>
        <w:pStyle w:val="Heading1"/>
      </w:pPr>
      <w:r>
        <w:t xml:space="preserve">9. </w:t>
      </w:r>
      <w:r>
        <w:rPr>
          <w:rFonts w:hint="eastAsia"/>
        </w:rPr>
        <w:t xml:space="preserve">采购订单采购价支持一键保留两位小数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：新增或编辑采购订单时，需要统一采购价的小数精度。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：采购订单新增、编辑页面的采购价支持一键四舍五入，保留两位小数。</w:t>
      </w:r>
    </w:p>
    <w:p>
      <w:pPr>
        <w:pStyle w:val="BodyText"/>
      </w:pPr>
      <w:r>
        <w:drawing>
          <wp:inline>
            <wp:extent cx="5334000" cy="2839363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8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9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6" w:name="X04c9accc679ff9ace999638de6670884600e4e2"/>
    <w:p>
      <w:pPr>
        <w:pStyle w:val="Heading1"/>
      </w:pPr>
      <w:r>
        <w:t xml:space="preserve">10. </w:t>
      </w:r>
      <w:r>
        <w:rPr>
          <w:rFonts w:hint="eastAsia"/>
        </w:rPr>
        <w:t xml:space="preserve">原单退货时限增加30天选项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：门店原单退货管理需要设置订单全部签收后允许退货的期限。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：“订单全部签收多久后禁止原单退”设置增加“30天”选项。</w:t>
      </w:r>
    </w:p>
    <w:p>
      <w:pPr>
        <w:pStyle w:val="BodyText"/>
      </w:pPr>
      <w:r>
        <w:drawing>
          <wp:inline>
            <wp:extent cx="5334000" cy="2820829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19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0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80" w:name="Xf21f838411b21bbeacf538d4592d70fcee04f94"/>
    <w:p>
      <w:pPr>
        <w:pStyle w:val="Heading1"/>
      </w:pPr>
      <w:r>
        <w:t xml:space="preserve">11. </w:t>
      </w:r>
      <w:r>
        <w:rPr>
          <w:rFonts w:hint="eastAsia"/>
        </w:rPr>
        <w:t xml:space="preserve">配送线路支持重复选择门店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：冷链车和常温车配送至同一门店时，可能采用不同配送线路，需要将该门店同时配置到多条线路。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：线路设置支持重复选择门店，满足同一门店使用不同配送线路的需求。</w:t>
      </w:r>
    </w:p>
    <w:p>
      <w:pPr>
        <w:pStyle w:val="BodyText"/>
      </w:pPr>
      <w:r>
        <w:drawing>
          <wp:inline>
            <wp:extent cx="5334000" cy="2824536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0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0"/>
    <w:bookmarkStart w:id="87" w:name="X49956621e31a00796c429d2d94562e011f273bc"/>
    <w:p>
      <w:pPr>
        <w:pStyle w:val="Heading1"/>
      </w:pPr>
      <w:r>
        <w:t xml:space="preserve">12. </w:t>
      </w:r>
      <w:r>
        <w:rPr>
          <w:rFonts w:hint="eastAsia"/>
        </w:rPr>
        <w:t xml:space="preserve">供货商对账结算支持实际业务日期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：供货商对账、结算时，需要按实际业务发生日期记录和筛选对账单。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购销供货商对账在确认对账时，支持输入“实际业务日期”。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购销供货商结算支持按“实际业务日期”筛选对账单。</w:t>
      </w:r>
    </w:p>
    <w:p>
      <w:pPr>
        <w:pStyle w:val="FirstParagraph"/>
      </w:pPr>
      <w:r>
        <w:drawing>
          <wp:inline>
            <wp:extent cx="5334000" cy="2824536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1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2417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7"/>
    <w:bookmarkStart w:id="94" w:name="X7a47f57248f3c5cdc07cf4aa6f08f9d85cb2148"/>
    <w:p>
      <w:pPr>
        <w:pStyle w:val="Heading1"/>
      </w:pPr>
      <w:r>
        <w:t xml:space="preserve">13. </w:t>
      </w:r>
      <w:r>
        <w:rPr>
          <w:rFonts w:hint="eastAsia"/>
        </w:rPr>
        <w:t xml:space="preserve">仓库配货汇总门店打印增加打印日期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：仓库配货按门店汇总打印时，需要在纸质单据中标明打印日期。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：仓库配货的“汇总门店打印”增加“打印日期”选项。</w:t>
      </w:r>
    </w:p>
    <w:p>
      <w:pPr>
        <w:pStyle w:val="BodyText"/>
      </w:pPr>
      <w:r>
        <w:drawing>
          <wp:inline>
            <wp:extent cx="5334000" cy="3152472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3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2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31949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4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1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4"/>
    <w:bookmarkStart w:id="95" w:name="X4cda0425cbbdaf13206d5960a61167447287778"/>
    <w:p>
      <w:pPr>
        <w:pStyle w:val="Heading1"/>
      </w:pPr>
      <w:r>
        <w:t xml:space="preserve">14. </w:t>
      </w:r>
      <w:r>
        <w:rPr>
          <w:rFonts w:hint="eastAsia"/>
        </w:rPr>
        <w:t xml:space="preserve">成本统计含税设置兼容单店版供应链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：单店版供应链进行仓库进销存成本统计时，也需要选择成本统计是否含税。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：“仓库进销存成本汇总（按移动加权）”和“仓库进销存成本汇总（按月加权）”的成本统计是否含税设置，兼容单店版供应链。</w:t>
      </w:r>
    </w:p>
    <w:bookmarkEnd w:id="95"/>
    <w:bookmarkStart w:id="99" w:name="X436d94f5cc4960f60f288945c5c0706738c5918"/>
    <w:p>
      <w:pPr>
        <w:pStyle w:val="Heading1"/>
      </w:pPr>
      <w:r>
        <w:t xml:space="preserve">15. </w:t>
      </w:r>
      <w:r>
        <w:rPr>
          <w:rFonts w:hint="eastAsia"/>
        </w:rPr>
        <w:t xml:space="preserve">商品资料支持调整表头顺序和固定列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：商品资料列表字段较多时，需要按使用习惯调整显示顺序、固定关键列，并查看商品库位。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自定义表头支持调整表头顺序。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支持自定义固定前若干列，使其在横向滚动时保持不动。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商品资料列表增加“库位”信息。</w:t>
      </w:r>
    </w:p>
    <w:p>
      <w:pPr>
        <w:pStyle w:val="FirstParagraph"/>
      </w:pPr>
      <w:r>
        <w:drawing>
          <wp:inline>
            <wp:extent cx="5334000" cy="2898671"/>
            <wp:effectExtent b="0" l="0" r="0" t="0"/>
            <wp:docPr descr="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5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9"/>
    <w:bookmarkStart w:id="103" w:name="X5376665cc823ff8e891257079e97a05c6000e88"/>
    <w:p>
      <w:pPr>
        <w:pStyle w:val="Heading1"/>
      </w:pPr>
      <w:r>
        <w:t xml:space="preserve">16. </w:t>
      </w:r>
      <w:r>
        <w:rPr>
          <w:rFonts w:hint="eastAsia"/>
        </w:rPr>
        <w:t xml:space="preserve">预警采购支持多选供货商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：查询预警采购商品时，需要同时查看多个供货商对应的商品。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：预警采购的供货商筛选项支持多选。</w:t>
      </w:r>
    </w:p>
    <w:p>
      <w:pPr>
        <w:pStyle w:val="BodyText"/>
      </w:pPr>
      <w:r>
        <w:drawing>
          <wp:inline>
            <wp:extent cx="5334000" cy="2813416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6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3"/>
    <w:bookmarkStart w:id="107" w:name="X470a7aac03f62f79eb1557bebf4b31203290dac"/>
    <w:p>
      <w:pPr>
        <w:pStyle w:val="Heading1"/>
      </w:pPr>
      <w:r>
        <w:t xml:space="preserve">17. </w:t>
      </w:r>
      <w:r>
        <w:rPr>
          <w:rFonts w:hint="eastAsia"/>
        </w:rPr>
        <w:t xml:space="preserve">代门店下单增加门店实际库存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：代门店下单时，需要参考门店当前实际库存确定订货数量。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：代门店下单页面增加“门店实际库存”列。</w:t>
      </w:r>
    </w:p>
    <w:p>
      <w:pPr>
        <w:pStyle w:val="BodyText"/>
      </w:pPr>
      <w:r>
        <w:drawing>
          <wp:inline>
            <wp:extent cx="5334000" cy="2871012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7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1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7"/>
    <w:bookmarkStart w:id="114" w:name="X61a3184844ae6c4fa3633370ed2bd010132cc9a"/>
    <w:p>
      <w:pPr>
        <w:pStyle w:val="Heading1"/>
      </w:pPr>
      <w:r>
        <w:t xml:space="preserve">18. </w:t>
      </w:r>
      <w:r>
        <w:rPr>
          <w:rFonts w:hint="eastAsia"/>
        </w:rPr>
        <w:t xml:space="preserve">订货款分账时添加预收明细隐藏余额支付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：开启订货款分账后，订货单添加预收明细时需要按分账配置限制支付方式。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：开启订货款分账时，订货单详情中的“添加预收明细”隐藏余额支付。</w:t>
      </w:r>
    </w:p>
    <w:p>
      <w:pPr>
        <w:pStyle w:val="BodyText"/>
      </w:pPr>
      <w:r>
        <w:drawing>
          <wp:inline>
            <wp:extent cx="5334000" cy="2828243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8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43070"/>
            <wp:effectExtent b="0" l="0" r="0" t="0"/>
            <wp:docPr descr="" title="" id="1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29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4"/>
    <w:bookmarkStart w:id="127" w:name="Xa1cd3025154de753e8bcfac06980f2a6f8f63e7"/>
    <w:p>
      <w:pPr>
        <w:pStyle w:val="Heading1"/>
      </w:pPr>
      <w:r>
        <w:t xml:space="preserve">19. </w:t>
      </w:r>
      <w:r>
        <w:rPr>
          <w:rFonts w:hint="eastAsia"/>
        </w:rPr>
        <w:t xml:space="preserve">普通门店采购增加日均销量和累计销量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：普通门店向供货商采购时，需要参考商品销售情况确定采购数量。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：货流管理的“找供货商采购”中，当进货门店类型为“普通门店”时，增加“日均销量”和“累计销量”两列。</w:t>
      </w:r>
    </w:p>
    <w:p>
      <w:pPr>
        <w:pStyle w:val="BodyText"/>
      </w:pPr>
      <w:r>
        <w:drawing>
          <wp:inline>
            <wp:extent cx="5334000" cy="2828243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0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72724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1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2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24536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2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39363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3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9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7"/>
    <w:bookmarkStart w:id="131" w:name="Xbcfd9c52d2c4fc1a6e32c820219c2f1085d1ecc"/>
    <w:p>
      <w:pPr>
        <w:pStyle w:val="Heading1"/>
      </w:pPr>
      <w:r>
        <w:t xml:space="preserve">20. </w:t>
      </w:r>
      <w:r>
        <w:rPr>
          <w:rFonts w:hint="eastAsia"/>
        </w:rPr>
        <w:t xml:space="preserve">自动补货支持按商品ABC分级设置取整方式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：自动补货量匹配订货基数时，不同</w:t>
      </w:r>
      <w:r>
        <w:t xml:space="preserve"> ABC </w:t>
      </w:r>
      <w:r>
        <w:rPr>
          <w:rFonts w:hint="eastAsia"/>
        </w:rPr>
        <w:t xml:space="preserve">分级商品需要采用不同的倍数取整规则。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：智能订货的自动补货新增设置，支持按商品</w:t>
      </w:r>
      <w:r>
        <w:t xml:space="preserve"> ABC </w:t>
      </w:r>
      <w:r>
        <w:rPr>
          <w:rFonts w:hint="eastAsia"/>
        </w:rPr>
        <w:t xml:space="preserve">分级分别配置：补货量匹配订货基数时，向上取倍数或向下取倍数。</w:t>
      </w:r>
    </w:p>
    <w:p>
      <w:pPr>
        <w:pStyle w:val="BodyText"/>
      </w:pPr>
      <w:r>
        <w:drawing>
          <wp:inline>
            <wp:extent cx="5334000" cy="2828243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4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1"/>
    <w:bookmarkStart w:id="135" w:name="X673a6c9feac6cc29a875027a36eb977d8c5d166"/>
    <w:p>
      <w:pPr>
        <w:pStyle w:val="Heading1"/>
      </w:pPr>
      <w:r>
        <w:t xml:space="preserve">21. </w:t>
      </w:r>
      <w:r>
        <w:rPr>
          <w:rFonts w:hint="eastAsia"/>
        </w:rPr>
        <w:t xml:space="preserve">单店版移动加权成本含税设置增加销售出库项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：单店版供应链按移动加权统计仓库进销存成本时，需要设置销售出库及退货业务的含税统计口径。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：单店版供应链的“仓库进销存成本汇总（按移动加权）”中，成本统计是否含税的设置增加“销售出库（含退货）”项。</w:t>
      </w:r>
    </w:p>
    <w:p>
      <w:pPr>
        <w:pStyle w:val="BodyText"/>
      </w:pPr>
      <w:r>
        <w:drawing>
          <wp:inline>
            <wp:extent cx="5334000" cy="3143249"/>
            <wp:effectExtent b="0" l="0" r="0" t="0"/>
            <wp:docPr descr="" title="" id="1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5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3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5"/>
    <w:bookmarkStart w:id="139" w:name="X476e21cc29bc2e18db77dcfe4b1ce778d062c22"/>
    <w:p>
      <w:pPr>
        <w:pStyle w:val="Heading1"/>
      </w:pPr>
      <w:r>
        <w:t xml:space="preserve">22. </w:t>
      </w:r>
      <w:r>
        <w:rPr>
          <w:rFonts w:hint="eastAsia"/>
        </w:rPr>
        <w:t xml:space="preserve">供货商平台查看历史供货数据取消专业版限制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：供货商在“我的供货”中查看更多历史数据时，此前受到专业版限制。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：供货商平台模块的“我的供货”中，查看更多历史数据取消必须使用专业版的限制。</w:t>
      </w:r>
    </w:p>
    <w:p>
      <w:pPr>
        <w:pStyle w:val="BodyText"/>
      </w:pPr>
      <w:r>
        <w:drawing>
          <wp:inline>
            <wp:extent cx="5334000" cy="2867025"/>
            <wp:effectExtent b="0" l="0" r="0" t="0"/>
            <wp:docPr descr="" title="" id="1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6.pn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9"/>
    <w:bookmarkStart w:id="140" w:name="X71be525fd5f1dcb4eea2b3be2d74564f8493e24"/>
    <w:p>
      <w:pPr>
        <w:pStyle w:val="Heading1"/>
      </w:pPr>
      <w:r>
        <w:t xml:space="preserve">23. </w:t>
      </w:r>
      <w:r>
        <w:rPr>
          <w:rFonts w:hint="eastAsia"/>
        </w:rPr>
        <w:t xml:space="preserve">移动采购订单单价支持三位小数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：移动采购中，部分商品采购单价需要精确到小数点后三位。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：移动采购新增、编辑采购订单时，采购单价支持录入三位小数。</w:t>
      </w:r>
    </w:p>
    <w:bookmarkEnd w:id="140"/>
    <w:bookmarkStart w:id="147" w:name="X7a06e28b53caa083c5d8c9e09c89cd64a364a24"/>
    <w:p>
      <w:pPr>
        <w:pStyle w:val="Heading1"/>
      </w:pPr>
      <w:r>
        <w:t xml:space="preserve">24. </w:t>
      </w:r>
      <w:r>
        <w:rPr>
          <w:rFonts w:hint="eastAsia"/>
        </w:rPr>
        <w:t xml:space="preserve">门店退货给仓库支持读取代管仓库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：门店通过货流管理退货给仓库时，需要选择对应的代管仓库作为进货方。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：货流管理的“门店退货给仓库”中，进货方增加读取代管仓库。</w:t>
      </w:r>
    </w:p>
    <w:p>
      <w:pPr>
        <w:pStyle w:val="BodyText"/>
      </w:pPr>
      <w:r>
        <w:drawing>
          <wp:inline>
            <wp:extent cx="5334000" cy="3465267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7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5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17123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1019-038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7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48" Target="media/rId48.png" /><Relationship Type="http://schemas.openxmlformats.org/officeDocument/2006/relationships/image" Id="rId51" Target="media/rId51.png" /><Relationship Type="http://schemas.openxmlformats.org/officeDocument/2006/relationships/image" Id="rId55" Target="media/rId55.png" /><Relationship Type="http://schemas.openxmlformats.org/officeDocument/2006/relationships/image" Id="rId59" Target="media/rId59.png" /><Relationship Type="http://schemas.openxmlformats.org/officeDocument/2006/relationships/image" Id="rId63" Target="media/rId63.png" /><Relationship Type="http://schemas.openxmlformats.org/officeDocument/2006/relationships/image" Id="rId69" Target="media/rId69.png" /><Relationship Type="http://schemas.openxmlformats.org/officeDocument/2006/relationships/image" Id="rId73" Target="media/rId73.png" /><Relationship Type="http://schemas.openxmlformats.org/officeDocument/2006/relationships/image" Id="rId77" Target="media/rId77.png" /><Relationship Type="http://schemas.openxmlformats.org/officeDocument/2006/relationships/image" Id="rId81" Target="media/rId81.png" /><Relationship Type="http://schemas.openxmlformats.org/officeDocument/2006/relationships/image" Id="rId84" Target="media/rId84.png" /><Relationship Type="http://schemas.openxmlformats.org/officeDocument/2006/relationships/image" Id="rId88" Target="media/rId88.png" /><Relationship Type="http://schemas.openxmlformats.org/officeDocument/2006/relationships/image" Id="rId91" Target="media/rId91.png" /><Relationship Type="http://schemas.openxmlformats.org/officeDocument/2006/relationships/image" Id="rId96" Target="media/rId96.png" /><Relationship Type="http://schemas.openxmlformats.org/officeDocument/2006/relationships/image" Id="rId100" Target="media/rId100.png" /><Relationship Type="http://schemas.openxmlformats.org/officeDocument/2006/relationships/image" Id="rId104" Target="media/rId104.png" /><Relationship Type="http://schemas.openxmlformats.org/officeDocument/2006/relationships/image" Id="rId108" Target="media/rId108.png" /><Relationship Type="http://schemas.openxmlformats.org/officeDocument/2006/relationships/image" Id="rId111" Target="media/rId111.png" /><Relationship Type="http://schemas.openxmlformats.org/officeDocument/2006/relationships/image" Id="rId115" Target="media/rId115.png" /><Relationship Type="http://schemas.openxmlformats.org/officeDocument/2006/relationships/image" Id="rId118" Target="media/rId118.png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28" Target="media/rId128.png" /><Relationship Type="http://schemas.openxmlformats.org/officeDocument/2006/relationships/image" Id="rId132" Target="media/rId132.png" /><Relationship Type="http://schemas.openxmlformats.org/officeDocument/2006/relationships/image" Id="rId136" Target="media/rId136.png" /><Relationship Type="http://schemas.openxmlformats.org/officeDocument/2006/relationships/image" Id="rId141" Target="media/rId141.png" /><Relationship Type="http://schemas.openxmlformats.org/officeDocument/2006/relationships/image" Id="rId144" Target="media/rId1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供应链更新日志（2026.10.19）（客户版）</dc:title>
  <dc:creator/>
  <dc:language>zh-CN</dc:language>
  <cp:keywords/>
  <dcterms:created xsi:type="dcterms:W3CDTF">2026-10-21T09:59:37Z</dcterms:created>
  <dcterms:modified xsi:type="dcterms:W3CDTF">2026-10-21T09:59:37Z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