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商品默认仓库设置</w:t>
      </w:r>
    </w:p>
    <w:bookmarkStart w:id="15" w:name="商品默认仓库设置"/>
    <w:p>
      <w:pPr>
        <w:pStyle w:val="Heading1"/>
      </w:pPr>
      <w:r>
        <w:rPr>
          <w:rFonts w:hint="eastAsia"/>
        </w:rPr>
        <w:t xml:space="preserve">商品默认仓库设置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：工厂裱花间生成入库单的前提条件，裱花间完工后，蛋糕会入库对应的仓库并调拨至门店；</w:t>
      </w:r>
      <w:r>
        <w:t xml:space="preserve"> </w:t>
      </w: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：总部账号登录-云ERP-商品-商品默认仓库设置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9845358-c7729736-7d63-40e2-9c34-3966e5b4bd2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筛选商品并勾选，点击【默认仓库】，选择对应的仓库，点击【确定】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9233309-77a0df05-1dce-48e5-b11f-450e9e86ae2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商品默认仓库设置</dc:title>
  <dc:creator/>
  <dc:language>zh-CN</dc:language>
  <cp:keywords/>
  <dcterms:created xsi:type="dcterms:W3CDTF">2026-09-28T09:53:06Z</dcterms:created>
  <dcterms:modified xsi:type="dcterms:W3CDTF">2026-09-28T09:53:06Z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