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工厂BOM</w:t>
      </w:r>
    </w:p>
    <w:bookmarkStart w:id="18" w:name="工厂bom"/>
    <w:p>
      <w:pPr>
        <w:pStyle w:val="Heading1"/>
      </w:pPr>
      <w:r>
        <w:rPr>
          <w:rFonts w:hint="eastAsia"/>
        </w:rPr>
        <w:t xml:space="preserve">工厂BOM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：工厂裱花间生成入库单，需要按配方扣料的前提条件，裱花间完工后，蛋糕使用材料扣对应生产车间；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：总部账号登录-云ERP-商品-工厂BOM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11331881-5ada22be-ec76-420d-9194-2bfbe77b590f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点击【新增】输入父件信息和子件信息，根据提示补全商品信息，点击【保存】，点击【审核】，一般先添加半成品BOM，再添加成品BOM；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11390954-c3eb3681-2424-4a06-b205-9ad58596ed5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11713166-a6a38c5d-f452-4f45-bdc7-b7f6df08261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工厂BOM</dc:title>
  <dc:creator/>
  <dc:language>zh-CN</dc:language>
  <cp:keywords/>
  <dcterms:created xsi:type="dcterms:W3CDTF">2026-09-28T09:53:04Z</dcterms:created>
  <dcterms:modified xsi:type="dcterms:W3CDTF">2026-09-28T09:53:04Z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