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2.png" ContentType="image/png"/>
  <Override PartName="/word/media/rId26.png" ContentType="image/png"/>
  <Override PartName="/word/media/rId30.png" ContentType="image/png"/>
  <Override PartName="/word/media/rId34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大客户更新日志（2026.09.14）（客户版）</w:t>
      </w:r>
    </w:p>
    <w:bookmarkStart w:id="9" w:name="大客户更新日志2026.09.14客户版"/>
    <w:p>
      <w:pPr>
        <w:pStyle w:val="Heading1"/>
      </w:pPr>
      <w:r>
        <w:rPr>
          <w:rFonts w:hint="eastAsia"/>
        </w:rPr>
        <w:t xml:space="preserve">大客户更新日志（2026.09.14）（客户版）</w:t>
      </w:r>
    </w:p>
    <w:bookmarkEnd w:id="9"/>
    <w:bookmarkStart w:id="16" w:name="Xb2cb710e32a1411bab0eec9548d4379ba8fda90"/>
    <w:p>
      <w:pPr>
        <w:pStyle w:val="Heading1"/>
      </w:pPr>
      <w:r>
        <w:t xml:space="preserve">1. </w:t>
      </w:r>
      <w:r>
        <w:rPr>
          <w:rFonts w:hint="eastAsia"/>
        </w:rPr>
        <w:t xml:space="preserve">账款管理兼容连锁大客户共享设置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：连锁大客户启用资料或业务共享后，账款管理需要同步兼容对应的共享关系。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：大客户账款管理兼容连锁大客户共享设置。</w:t>
      </w:r>
    </w:p>
    <w:p>
      <w:pPr>
        <w:pStyle w:val="BodyText"/>
      </w:pPr>
      <w:r>
        <w:drawing>
          <wp:inline>
            <wp:extent cx="5285983" cy="2801654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7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1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463452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8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4634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X1a627bce367c941dea868dda04d78f4ed4f44ff"/>
    <w:p>
      <w:pPr>
        <w:pStyle w:val="Heading1"/>
      </w:pPr>
      <w:r>
        <w:t xml:space="preserve">2. </w:t>
      </w:r>
      <w:r>
        <w:rPr>
          <w:rFonts w:hint="eastAsia"/>
        </w:rPr>
        <w:t xml:space="preserve">大客户卡券销售支持按手机号搜索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：查询大客户卡券销售记录时，使用手机号定位客户更为直接。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：大客户卡券销售增加按手机号码搜索功能。</w:t>
      </w:r>
    </w:p>
    <w:p>
      <w:pPr>
        <w:pStyle w:val="BodyText"/>
      </w:pPr>
      <w:r>
        <w:drawing>
          <wp:inline>
            <wp:extent cx="5290158" cy="3194136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9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58" cy="3194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1" w:name="Xa7128f8cbd14abe7a2249d08d9d482b762bccb8"/>
    <w:p>
      <w:pPr>
        <w:pStyle w:val="Heading1"/>
      </w:pPr>
      <w:r>
        <w:t xml:space="preserve">3. </w:t>
      </w:r>
      <w:r>
        <w:rPr>
          <w:rFonts w:hint="eastAsia"/>
        </w:rPr>
        <w:t xml:space="preserve">移动端卡券销售单支持授权审核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：业务员在移动端开具卡券销售单后，具备审核权限的员工需要及时处理待审核单据。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：待审核卡券销售单增加审核按钮；员工号登录时，已授权员工可直接在移动端审核卡券销售单。</w:t>
      </w:r>
    </w:p>
    <w:bookmarkEnd w:id="21"/>
    <w:bookmarkStart w:id="25" w:name="X04ec3bd5a2f40dfd681e020d03b491567bee334"/>
    <w:p>
      <w:pPr>
        <w:pStyle w:val="Heading1"/>
      </w:pPr>
      <w:r>
        <w:t xml:space="preserve">4. </w:t>
      </w:r>
      <w:r>
        <w:rPr>
          <w:rFonts w:hint="eastAsia"/>
        </w:rPr>
        <w:t xml:space="preserve">卡券销售单金额异常时增加提醒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：卡券销售单的订单应收金额高于订单价值时，可能存在录入或定价异常，需要在提交和审核环节提示操作人员。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：开具卡券销售单时，如订单应收大于订单价值，提交和审核操作均会弹窗提醒。</w:t>
      </w:r>
    </w:p>
    <w:p>
      <w:pPr>
        <w:pStyle w:val="BodyText"/>
      </w:pPr>
      <w:r>
        <w:drawing>
          <wp:inline>
            <wp:extent cx="5285983" cy="280583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50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5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9" w:name="Xfc1a7a4ee52681b0643a011ed53176b29f150e6"/>
    <w:p>
      <w:pPr>
        <w:pStyle w:val="Heading1"/>
      </w:pPr>
      <w:r>
        <w:t xml:space="preserve">5. </w:t>
      </w:r>
      <w:r>
        <w:rPr>
          <w:rFonts w:hint="eastAsia"/>
        </w:rPr>
        <w:t xml:space="preserve">商品销售订单支持修改销售价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：非批发商贸行业开具大客户商品销售订单时，可能需要根据实际业务协商调整商品销售价格。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：针对适用行业，商品销售订单支持修改销售价。</w:t>
      </w:r>
    </w:p>
    <w:p>
      <w:pPr>
        <w:pStyle w:val="BodyText"/>
      </w:pPr>
      <w:r>
        <w:drawing>
          <wp:inline>
            <wp:extent cx="5285983" cy="282670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5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267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3" w:name="X5800dd37eb6c89ed8c51ebb8c0368a84b67d3f6"/>
    <w:p>
      <w:pPr>
        <w:pStyle w:val="Heading1"/>
      </w:pPr>
      <w:r>
        <w:t xml:space="preserve">6. </w:t>
      </w:r>
      <w:r>
        <w:rPr>
          <w:rFonts w:hint="eastAsia"/>
        </w:rPr>
        <w:t xml:space="preserve">子门店销售订单支持选择总部仓库配货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：子门店开具商品销售订单并选择仓库出库时，需要明确实际配货方并调用总部仓库履约。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：出库方式选择“仓库出库”后，订单增加配货方展示，并支持选择总部下的仓库。</w:t>
      </w:r>
    </w:p>
    <w:p>
      <w:pPr>
        <w:pStyle w:val="BodyText"/>
      </w:pPr>
      <w:r>
        <w:drawing>
          <wp:inline>
            <wp:extent cx="5290158" cy="318161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52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58" cy="3181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37" w:name="X36d0e715829ffbf596e2e6a8f43006f999b6c20"/>
    <w:p>
      <w:pPr>
        <w:pStyle w:val="Heading1"/>
      </w:pPr>
      <w:r>
        <w:t xml:space="preserve">7. </w:t>
      </w:r>
      <w:r>
        <w:rPr>
          <w:rFonts w:hint="eastAsia"/>
        </w:rPr>
        <w:t xml:space="preserve">商品销售订单增加抹零快捷操作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：大客户商品销售订单结算时，优惠后金额可能需要进行抹零处理。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：商品销售订单底部的“优惠后金额”增加“抹零”快捷操作。</w:t>
      </w:r>
    </w:p>
    <w:p>
      <w:pPr>
        <w:pStyle w:val="BodyText"/>
      </w:pPr>
      <w:r>
        <w:drawing>
          <wp:inline>
            <wp:extent cx="5285983" cy="2801654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53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1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1" w:name="Xba79e1b76f7cce3531526ff786ab1c69edef6c7"/>
    <w:p>
      <w:pPr>
        <w:pStyle w:val="Heading1"/>
      </w:pPr>
      <w:r>
        <w:t xml:space="preserve">8. </w:t>
      </w:r>
      <w:r>
        <w:rPr>
          <w:rFonts w:hint="eastAsia"/>
        </w:rPr>
        <w:t xml:space="preserve">商品销售订单支持一键清零销售量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：订单商品较多时，逐项将销售量改为零操作繁琐。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：销售量区域增加快捷图标，可一键将订单内所有商品的销售量置为</w:t>
      </w:r>
      <w:r>
        <w:t xml:space="preserve"> 0。</w:t>
      </w:r>
    </w:p>
    <w:p>
      <w:pPr>
        <w:pStyle w:val="BodyText"/>
      </w:pPr>
      <w:r>
        <w:drawing>
          <wp:inline>
            <wp:extent cx="5285983" cy="280165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54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1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4" Target="media/rId34.png" /><Relationship Type="http://schemas.openxmlformats.org/officeDocument/2006/relationships/image" Id="rId38" Target="media/rId3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大客户更新日志（2026.09.14）（客户版）</dc:title>
  <dc:creator/>
  <dc:language>zh-CN</dc:language>
  <cp:keywords/>
  <dcterms:created xsi:type="dcterms:W3CDTF">2026-09-28T09:56:51Z</dcterms:created>
  <dcterms:modified xsi:type="dcterms:W3CDTF">2026-09-28T09:56:51Z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