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  <Override PartName="/word/media/rId27.png" ContentType="image/png"/>
  <Override PartName="/word/media/rId15.png" ContentType="image/png"/>
  <Override PartName="/word/media/rId18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开通与银豹授权</w:t>
      </w:r>
    </w:p>
    <w:bookmarkStart w:id="31" w:name="开通与银豹授权"/>
    <w:p>
      <w:pPr>
        <w:pStyle w:val="Heading1"/>
      </w:pPr>
      <w:r>
        <w:rPr>
          <w:rFonts w:hint="eastAsia"/>
        </w:rPr>
        <w:t xml:space="preserve">开通与银豹授权</w:t>
      </w:r>
    </w:p>
    <w:bookmarkStart w:id="9" w:name="适用场景"/>
    <w:p>
      <w:pPr>
        <w:pStyle w:val="Heading2"/>
      </w:pPr>
      <w:r>
        <w:rPr>
          <w:rFonts w:hint="eastAsia"/>
        </w:rPr>
        <w:t xml:space="preserve">适用场景</w:t>
      </w:r>
    </w:p>
    <w:p>
      <w:pPr>
        <w:pStyle w:val="FirstParagraph"/>
      </w:pPr>
      <w:r>
        <w:rPr>
          <w:rFonts w:hint="eastAsia"/>
        </w:rPr>
        <w:t xml:space="preserve">首次为客户开通银豹小程序，完成微信小程序资料、APPID、密钥及银豹第三方授权。</w:t>
      </w:r>
    </w:p>
    <w:bookmarkEnd w:id="9"/>
    <w:bookmarkStart w:id="10" w:name="前置条件"/>
    <w:p>
      <w:pPr>
        <w:pStyle w:val="Heading2"/>
      </w:pPr>
      <w:r>
        <w:rPr>
          <w:rFonts w:hint="eastAsia"/>
        </w:rPr>
        <w:t xml:space="preserve">前置条件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小程序主体应为企业、公司或个体工商户；个人主体不适用于银豹业务对接。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如果现有小程序已授权并运行其他服务商系统，不建议同时接入，应另行申请用于银豹的小程序。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准备小程序管理员微信及登录账号。</w:t>
      </w:r>
    </w:p>
    <w:bookmarkEnd w:id="10"/>
    <w:bookmarkStart w:id="30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登录</w:t>
      </w:r>
      <w:hyperlink r:id="rId11">
        <w:r>
          <w:rPr>
            <w:rStyle w:val="Hyperlink"/>
            <w:rFonts w:hint="eastAsia"/>
          </w:rPr>
          <w:t xml:space="preserve">微信公众平台</w:t>
        </w:r>
      </w:hyperlink>
      <w:r>
        <w:rPr>
          <w:rFonts w:hint="eastAsia"/>
        </w:rPr>
        <w:t xml:space="preserve">，完善小程序名称、头像、简介及服务类目。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进入【开发</w:t>
      </w:r>
      <w:r>
        <w:t xml:space="preserve"> → </w:t>
      </w:r>
      <w:r>
        <w:rPr>
          <w:rFonts w:hint="eastAsia"/>
        </w:rPr>
        <w:t xml:space="preserve">开发设置】，复制</w:t>
      </w:r>
      <w:r>
        <w:t xml:space="preserve"> </w:t>
      </w:r>
      <w:r>
        <w:rPr>
          <w:rFonts w:hint="eastAsia"/>
        </w:rPr>
        <w:t xml:space="preserve">APPID，并生成或重置密钥后妥善保存。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由小程序管理员通过银豹当前授权入口扫码，授权银豹所需能力。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登录银豹云后台，进入网店装修及小程序配置页面，准备后续支付配置和模板上传。</w:t>
      </w:r>
    </w:p>
    <w:p>
      <w:pPr>
        <w:pStyle w:val="FirstParagraph"/>
      </w:pPr>
      <w:r>
        <w:drawing>
          <wp:inline>
            <wp:extent cx="5334000" cy="3327633"/>
            <wp:effectExtent b="0" l="0" r="0" t="0"/>
            <wp:docPr descr="通过已认证公众号注册小程序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basic-register-dde1945a158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76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983640"/>
            <wp:effectExtent b="0" l="0" r="0" t="0"/>
            <wp:docPr descr="完善小程序基本资料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basic-profile-1-ce676c76104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83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配置小程序服务类目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basic-profile-2-d52969eeff2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150617"/>
            <wp:effectExtent b="0" l="0" r="0" t="0"/>
            <wp:docPr descr="获取小程序 APPID 和密钥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basic-appid-9c6a3726301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0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37866"/>
            <wp:effectExtent b="0" l="0" r="0" t="0"/>
            <wp:docPr descr="小程序管理员扫码授权银豹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basic-authorize-f9aead3e4b7d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57986"/>
            <wp:effectExtent b="0" l="0" r="0" t="0"/>
            <wp:docPr descr="进入银豹小程序配置后台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basic-backend-c98fd9e84ef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79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密钥属于敏感信息，不要放在公开文档、群聊截图或客户物料中。重置密钥后必须同步更新银豹支付配置。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hyperlink" Id="rId11" Target="https://mp.weixin.qq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mp.weixin.qq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开通与银豹授权</dc:title>
  <dc:creator/>
  <dc:language>zh-CN</dc:language>
  <cp:keywords/>
  <dcterms:created xsi:type="dcterms:W3CDTF">2026-10-08T05:20:49Z</dcterms:created>
  <dcterms:modified xsi:type="dcterms:W3CDTF">2026-10-08T05:20:49Z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